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7" w:type="dxa"/>
        <w:tblLook w:val="01E0" w:firstRow="1" w:lastRow="1" w:firstColumn="1" w:lastColumn="1" w:noHBand="0" w:noVBand="0"/>
      </w:tblPr>
      <w:tblGrid>
        <w:gridCol w:w="9889"/>
        <w:gridCol w:w="3828"/>
      </w:tblGrid>
      <w:tr w:rsidR="00814781" w:rsidRPr="00834EE5" w:rsidTr="00673AB1">
        <w:trPr>
          <w:trHeight w:val="659"/>
        </w:trPr>
        <w:tc>
          <w:tcPr>
            <w:tcW w:w="9889" w:type="dxa"/>
          </w:tcPr>
          <w:p w:rsidR="00814781" w:rsidRPr="00834EE5" w:rsidRDefault="00814781" w:rsidP="0008311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814781" w:rsidRPr="00834EE5" w:rsidRDefault="00814781" w:rsidP="00CA15E7">
            <w:pPr>
              <w:pStyle w:val="2"/>
              <w:rPr>
                <w:szCs w:val="28"/>
              </w:rPr>
            </w:pPr>
          </w:p>
        </w:tc>
      </w:tr>
    </w:tbl>
    <w:p w:rsidR="00CB6D3E" w:rsidRPr="00746894" w:rsidRDefault="00CB6D3E" w:rsidP="00D57E82">
      <w:pPr>
        <w:pStyle w:val="a8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 w:val="28"/>
        </w:rPr>
      </w:pPr>
      <w:r w:rsidRPr="00834EE5">
        <w:rPr>
          <w:sz w:val="28"/>
        </w:rPr>
        <w:t>Внести в Сборник вознаграждений за операции, осуществляемые ОАО «БПС-Сбербанк» от 20.12.2016 № 01/01</w:t>
      </w:r>
      <w:r w:rsidRPr="00834EE5">
        <w:rPr>
          <w:sz w:val="28"/>
        </w:rPr>
        <w:noBreakHyphen/>
        <w:t>07/606 (далее – Сборник) следующие изменения:</w:t>
      </w:r>
    </w:p>
    <w:p w:rsidR="0080324F" w:rsidRPr="00FA08E8" w:rsidRDefault="00A13F81" w:rsidP="0080324F">
      <w:pPr>
        <w:pStyle w:val="a8"/>
        <w:numPr>
          <w:ilvl w:val="1"/>
          <w:numId w:val="1"/>
        </w:numPr>
        <w:ind w:left="1276" w:hanging="566"/>
        <w:rPr>
          <w:sz w:val="28"/>
          <w:szCs w:val="28"/>
        </w:rPr>
      </w:pPr>
      <w:r w:rsidRPr="00A13F81">
        <w:t xml:space="preserve"> </w:t>
      </w:r>
      <w:r w:rsidR="0080324F">
        <w:rPr>
          <w:sz w:val="28"/>
          <w:szCs w:val="28"/>
        </w:rPr>
        <w:t xml:space="preserve">подпункт </w:t>
      </w:r>
      <w:r w:rsidR="0080324F" w:rsidRPr="00C10909">
        <w:rPr>
          <w:sz w:val="28"/>
          <w:szCs w:val="28"/>
        </w:rPr>
        <w:t>4.2.2.1</w:t>
      </w:r>
      <w:r w:rsidR="0080324F" w:rsidRPr="00FA08E8">
        <w:rPr>
          <w:sz w:val="28"/>
          <w:szCs w:val="28"/>
        </w:rPr>
        <w:t xml:space="preserve"> </w:t>
      </w:r>
      <w:r w:rsidR="0080324F">
        <w:rPr>
          <w:sz w:val="28"/>
          <w:szCs w:val="28"/>
        </w:rPr>
        <w:t>Сборника</w:t>
      </w:r>
      <w:r w:rsidR="0080324F" w:rsidRPr="00C10909">
        <w:rPr>
          <w:sz w:val="28"/>
          <w:szCs w:val="28"/>
        </w:rPr>
        <w:t xml:space="preserve"> изложить в следующей редакции:</w:t>
      </w:r>
    </w:p>
    <w:p w:rsidR="0080324F" w:rsidRPr="001A78B8" w:rsidRDefault="0080324F" w:rsidP="0080324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A78B8">
        <w:rPr>
          <w:sz w:val="28"/>
          <w:szCs w:val="28"/>
        </w:rPr>
        <w:t>«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1056"/>
        <w:gridCol w:w="4488"/>
        <w:gridCol w:w="2126"/>
        <w:gridCol w:w="1559"/>
        <w:gridCol w:w="1559"/>
        <w:gridCol w:w="3828"/>
      </w:tblGrid>
      <w:tr w:rsidR="0080324F" w:rsidRPr="00FA08E8" w:rsidTr="002D6DD4">
        <w:trPr>
          <w:trHeight w:val="57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24F" w:rsidRPr="00FA08E8" w:rsidRDefault="0080324F" w:rsidP="002D6DD4">
            <w:pPr>
              <w:pStyle w:val="Default"/>
            </w:pPr>
            <w:r w:rsidRPr="00FA08E8">
              <w:t xml:space="preserve">№ </w:t>
            </w:r>
            <w:proofErr w:type="gramStart"/>
            <w:r w:rsidRPr="00FA08E8">
              <w:t>п</w:t>
            </w:r>
            <w:proofErr w:type="gramEnd"/>
            <w:r w:rsidRPr="00FA08E8">
              <w:t>/п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4F" w:rsidRPr="00FA08E8" w:rsidRDefault="0080324F" w:rsidP="002D6DD4">
            <w:pPr>
              <w:pStyle w:val="Default"/>
            </w:pPr>
            <w:r w:rsidRPr="00FA08E8">
              <w:t>Наименование операции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4F" w:rsidRPr="00FA08E8" w:rsidRDefault="0080324F" w:rsidP="002D6DD4">
            <w:pPr>
              <w:pStyle w:val="Default"/>
              <w:jc w:val="center"/>
            </w:pPr>
            <w:r w:rsidRPr="00FA08E8">
              <w:t>Основной размер вознаграждения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FA08E8" w:rsidRDefault="0080324F" w:rsidP="002D6DD4">
            <w:pPr>
              <w:pStyle w:val="Default"/>
              <w:jc w:val="center"/>
            </w:pPr>
            <w:r w:rsidRPr="00FA08E8">
              <w:t xml:space="preserve">MIN размер </w:t>
            </w:r>
            <w:proofErr w:type="spellStart"/>
            <w:r w:rsidRPr="00FA08E8">
              <w:t>возн</w:t>
            </w:r>
            <w:proofErr w:type="spellEnd"/>
            <w:r w:rsidRPr="00FA08E8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FA08E8" w:rsidRDefault="0080324F" w:rsidP="002D6DD4">
            <w:pPr>
              <w:pStyle w:val="Default"/>
              <w:jc w:val="center"/>
            </w:pPr>
            <w:r w:rsidRPr="00FA08E8">
              <w:t xml:space="preserve">MAX размер </w:t>
            </w:r>
            <w:proofErr w:type="spellStart"/>
            <w:r w:rsidRPr="00FA08E8">
              <w:t>возн</w:t>
            </w:r>
            <w:proofErr w:type="spellEnd"/>
            <w:r w:rsidRPr="00FA08E8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FA08E8" w:rsidRDefault="0080324F" w:rsidP="002D6DD4">
            <w:pPr>
              <w:pStyle w:val="Default"/>
              <w:jc w:val="center"/>
            </w:pPr>
            <w:r w:rsidRPr="00FA08E8">
              <w:t xml:space="preserve">Примечание: </w:t>
            </w:r>
          </w:p>
          <w:p w:rsidR="0080324F" w:rsidRPr="00FA08E8" w:rsidRDefault="0080324F" w:rsidP="002D6DD4">
            <w:pPr>
              <w:jc w:val="center"/>
              <w:rPr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80324F" w:rsidRPr="00FA08E8" w:rsidTr="002D6DD4">
        <w:trPr>
          <w:trHeight w:val="80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24F" w:rsidRPr="00FA08E8" w:rsidRDefault="0080324F" w:rsidP="002D6DD4">
            <w:pPr>
              <w:rPr>
                <w:color w:val="FF0000"/>
                <w:sz w:val="24"/>
                <w:szCs w:val="24"/>
              </w:rPr>
            </w:pPr>
            <w:r w:rsidRPr="00FA08E8">
              <w:rPr>
                <w:color w:val="000000" w:themeColor="text1"/>
                <w:sz w:val="24"/>
                <w:szCs w:val="24"/>
              </w:rPr>
              <w:t>4.2.2.1.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4F" w:rsidRPr="00FA08E8" w:rsidRDefault="0080324F" w:rsidP="002D6DD4">
            <w:pPr>
              <w:rPr>
                <w:sz w:val="24"/>
                <w:szCs w:val="24"/>
              </w:rPr>
            </w:pPr>
            <w:r w:rsidRPr="00FA08E8">
              <w:rPr>
                <w:sz w:val="24"/>
                <w:szCs w:val="24"/>
              </w:rPr>
              <w:t>Абонентская плата за обслуживание в подсистеме  «Интернет-клиент»/«Банк-клиент» системы ДБО «BS-</w:t>
            </w:r>
            <w:proofErr w:type="spellStart"/>
            <w:r w:rsidRPr="00FA08E8">
              <w:rPr>
                <w:sz w:val="24"/>
                <w:szCs w:val="24"/>
              </w:rPr>
              <w:t>Client</w:t>
            </w:r>
            <w:proofErr w:type="spellEnd"/>
            <w:r w:rsidRPr="00FA08E8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4F" w:rsidRPr="00FA08E8" w:rsidRDefault="0080324F" w:rsidP="002D6DD4">
            <w:pPr>
              <w:pStyle w:val="Default"/>
              <w:jc w:val="center"/>
            </w:pPr>
            <w:r w:rsidRPr="00367DA9">
              <w:rPr>
                <w:bCs/>
                <w:color w:val="auto"/>
              </w:rPr>
              <w:t xml:space="preserve">15.00 </w:t>
            </w:r>
            <w:r w:rsidRPr="00FA08E8">
              <w:rPr>
                <w:bCs/>
              </w:rPr>
              <w:t>BYN (ежемесячно) или включено в Пакет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FA08E8" w:rsidRDefault="0080324F" w:rsidP="002D6DD4">
            <w:pPr>
              <w:pStyle w:val="Default"/>
              <w:jc w:val="center"/>
              <w:rPr>
                <w:rFonts w:ascii="Calibri" w:hAnsi="Calibri" w:cs="Calibri"/>
              </w:rPr>
            </w:pPr>
            <w:r w:rsidRPr="00FA08E8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FA08E8" w:rsidRDefault="0080324F" w:rsidP="002D6DD4">
            <w:pPr>
              <w:pStyle w:val="Default"/>
              <w:jc w:val="center"/>
              <w:rPr>
                <w:rFonts w:ascii="Calibri" w:hAnsi="Calibri" w:cs="Calibri"/>
              </w:rPr>
            </w:pPr>
            <w:r w:rsidRPr="00FA08E8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FA08E8" w:rsidRDefault="0080324F" w:rsidP="00DE4530">
            <w:pPr>
              <w:jc w:val="both"/>
              <w:rPr>
                <w:b/>
                <w:bCs/>
                <w:strike/>
                <w:color w:val="FF0000"/>
                <w:sz w:val="24"/>
                <w:szCs w:val="24"/>
              </w:rPr>
            </w:pPr>
            <w:proofErr w:type="gramStart"/>
            <w:r w:rsidRPr="00FA08E8">
              <w:rPr>
                <w:color w:val="000000"/>
                <w:sz w:val="24"/>
                <w:szCs w:val="24"/>
              </w:rPr>
              <w:t>В случае получения Банком из официальных источников информации о нахождении клиента в процедуре ликвидации (прекращении деятельности) либо о возбуждении в отношении клиента дела об экономической несостоятельности (банкротстве), кроме установления защитного периода, Банк со дня получения информации приостанавливает обслуживание клиента с использованием систем дистанционного банковского обслуживания до дня переоформления счета в связи с указанными обстоятельствами.</w:t>
            </w:r>
            <w:proofErr w:type="gramEnd"/>
            <w:r w:rsidRPr="00FA08E8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A08E8">
              <w:rPr>
                <w:color w:val="000000"/>
                <w:sz w:val="24"/>
                <w:szCs w:val="24"/>
              </w:rPr>
              <w:t>Абонентская</w:t>
            </w:r>
            <w:proofErr w:type="gramEnd"/>
            <w:r w:rsidRPr="00FA08E8">
              <w:rPr>
                <w:color w:val="000000"/>
                <w:sz w:val="24"/>
                <w:szCs w:val="24"/>
              </w:rPr>
              <w:t xml:space="preserve"> вознаграждение по пункту начисляется за период с начала текущего месяца до дня приостановления обслуживания  клиента в системах ДБО.</w:t>
            </w:r>
          </w:p>
        </w:tc>
      </w:tr>
    </w:tbl>
    <w:p w:rsidR="0080324F" w:rsidRPr="00834EE5" w:rsidRDefault="0080324F" w:rsidP="0080324F">
      <w:pPr>
        <w:ind w:left="1069"/>
        <w:jc w:val="right"/>
        <w:rPr>
          <w:sz w:val="28"/>
          <w:szCs w:val="28"/>
        </w:rPr>
      </w:pPr>
      <w:r w:rsidRPr="00834EE5">
        <w:rPr>
          <w:sz w:val="28"/>
          <w:szCs w:val="28"/>
        </w:rPr>
        <w:t>»;</w:t>
      </w:r>
    </w:p>
    <w:p w:rsidR="0080324F" w:rsidRPr="001A78B8" w:rsidRDefault="0080324F" w:rsidP="0080324F">
      <w:pPr>
        <w:pStyle w:val="a8"/>
        <w:numPr>
          <w:ilvl w:val="1"/>
          <w:numId w:val="1"/>
        </w:numPr>
        <w:tabs>
          <w:tab w:val="left" w:pos="1134"/>
        </w:tabs>
        <w:spacing w:line="228" w:lineRule="auto"/>
        <w:ind w:left="14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подпункт 4.4.16.1 Сборника изложить в следующей редакции</w:t>
      </w:r>
      <w:r w:rsidRPr="001A78B8">
        <w:rPr>
          <w:sz w:val="28"/>
          <w:szCs w:val="28"/>
        </w:rPr>
        <w:t>:</w:t>
      </w:r>
    </w:p>
    <w:p w:rsidR="0080324F" w:rsidRPr="001A78B8" w:rsidRDefault="0080324F" w:rsidP="0080324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A78B8">
        <w:rPr>
          <w:sz w:val="28"/>
          <w:szCs w:val="28"/>
        </w:rPr>
        <w:t>«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1056"/>
        <w:gridCol w:w="4488"/>
        <w:gridCol w:w="2126"/>
        <w:gridCol w:w="1559"/>
        <w:gridCol w:w="1559"/>
        <w:gridCol w:w="3828"/>
      </w:tblGrid>
      <w:tr w:rsidR="0080324F" w:rsidRPr="001A78B8" w:rsidTr="002D6DD4">
        <w:trPr>
          <w:trHeight w:val="57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24F" w:rsidRPr="001A78B8" w:rsidRDefault="0080324F" w:rsidP="002D6DD4">
            <w:pPr>
              <w:pStyle w:val="Default"/>
            </w:pPr>
            <w:r w:rsidRPr="001A78B8">
              <w:t xml:space="preserve">№ </w:t>
            </w:r>
            <w:proofErr w:type="gramStart"/>
            <w:r w:rsidRPr="001A78B8">
              <w:t>п</w:t>
            </w:r>
            <w:proofErr w:type="gramEnd"/>
            <w:r w:rsidRPr="001A78B8">
              <w:t>/п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4F" w:rsidRPr="001A78B8" w:rsidRDefault="0080324F" w:rsidP="002D6DD4">
            <w:pPr>
              <w:pStyle w:val="Default"/>
            </w:pPr>
            <w:r w:rsidRPr="001A78B8">
              <w:t>Наименование операции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4F" w:rsidRPr="001A78B8" w:rsidRDefault="0080324F" w:rsidP="002D6DD4">
            <w:pPr>
              <w:pStyle w:val="Default"/>
              <w:jc w:val="center"/>
            </w:pPr>
            <w:r w:rsidRPr="001A78B8">
              <w:t>Основной размер вознаграждения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1A78B8" w:rsidRDefault="0080324F" w:rsidP="002D6DD4">
            <w:pPr>
              <w:pStyle w:val="Default"/>
              <w:jc w:val="center"/>
            </w:pPr>
            <w:r w:rsidRPr="001A78B8">
              <w:t xml:space="preserve">MIN размер </w:t>
            </w:r>
            <w:proofErr w:type="spellStart"/>
            <w:r w:rsidRPr="001A78B8">
              <w:t>возн</w:t>
            </w:r>
            <w:proofErr w:type="spellEnd"/>
            <w:r w:rsidRPr="001A78B8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1A78B8" w:rsidRDefault="0080324F" w:rsidP="002D6DD4">
            <w:pPr>
              <w:pStyle w:val="Default"/>
              <w:jc w:val="center"/>
            </w:pPr>
            <w:r w:rsidRPr="001A78B8">
              <w:t xml:space="preserve">MAX размер </w:t>
            </w:r>
            <w:proofErr w:type="spellStart"/>
            <w:r w:rsidRPr="001A78B8">
              <w:t>возн</w:t>
            </w:r>
            <w:proofErr w:type="spellEnd"/>
            <w:r w:rsidRPr="001A78B8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1A78B8" w:rsidRDefault="0080324F" w:rsidP="002D6DD4">
            <w:pPr>
              <w:pStyle w:val="Default"/>
              <w:jc w:val="center"/>
            </w:pPr>
            <w:r w:rsidRPr="001A78B8">
              <w:t xml:space="preserve">Примечание: </w:t>
            </w:r>
          </w:p>
          <w:p w:rsidR="0080324F" w:rsidRPr="001A78B8" w:rsidRDefault="0080324F" w:rsidP="002D6DD4">
            <w:pPr>
              <w:jc w:val="center"/>
              <w:rPr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80324F" w:rsidRPr="001A78B8" w:rsidTr="002D6DD4">
        <w:trPr>
          <w:trHeight w:val="80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24F" w:rsidRPr="00880F15" w:rsidRDefault="0080324F" w:rsidP="002D6DD4">
            <w:pPr>
              <w:rPr>
                <w:b/>
                <w:sz w:val="24"/>
                <w:szCs w:val="24"/>
              </w:rPr>
            </w:pPr>
            <w:bookmarkStart w:id="0" w:name="_GoBack"/>
            <w:r w:rsidRPr="00880F15">
              <w:rPr>
                <w:b/>
                <w:sz w:val="24"/>
                <w:szCs w:val="24"/>
              </w:rPr>
              <w:lastRenderedPageBreak/>
              <w:t>4.4.16.</w:t>
            </w:r>
            <w:bookmarkEnd w:id="0"/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367DA9" w:rsidRDefault="0080324F" w:rsidP="00367DA9">
            <w:pPr>
              <w:rPr>
                <w:sz w:val="24"/>
                <w:szCs w:val="24"/>
              </w:rPr>
            </w:pPr>
            <w:r w:rsidRPr="00367DA9">
              <w:rPr>
                <w:sz w:val="24"/>
                <w:szCs w:val="24"/>
              </w:rPr>
              <w:t>Оформление расчётного документа в белорусских рублях и иных документов (приложений к расчётному документу, реестра платежных требований и др.) по просьбе клиента</w:t>
            </w:r>
            <w:r w:rsidR="00367DA9">
              <w:rPr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367DA9" w:rsidRDefault="0080324F" w:rsidP="002D6DD4">
            <w:pPr>
              <w:jc w:val="center"/>
              <w:rPr>
                <w:bCs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367DA9" w:rsidRDefault="0080324F" w:rsidP="002D6DD4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1A78B8" w:rsidRDefault="0080324F" w:rsidP="002D6DD4">
            <w:pPr>
              <w:jc w:val="center"/>
              <w:rPr>
                <w:b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1A78B8" w:rsidRDefault="0080324F" w:rsidP="002D6DD4">
            <w:pPr>
              <w:pStyle w:val="Default"/>
              <w:jc w:val="both"/>
            </w:pPr>
            <w:r w:rsidRPr="001A78B8">
              <w:t>Вознаграждение включает налог на добавленную стоимость. Вознаграждение взимается за один документ.</w:t>
            </w:r>
          </w:p>
          <w:p w:rsidR="0080324F" w:rsidRPr="001A78B8" w:rsidRDefault="0080324F" w:rsidP="002D6DD4">
            <w:pPr>
              <w:jc w:val="center"/>
              <w:rPr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80324F" w:rsidRPr="001A78B8" w:rsidTr="002D6DD4">
        <w:trPr>
          <w:trHeight w:val="39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24F" w:rsidRPr="00F20A1F" w:rsidRDefault="0080324F" w:rsidP="002D6DD4">
            <w:pPr>
              <w:jc w:val="center"/>
              <w:rPr>
                <w:b/>
                <w:sz w:val="24"/>
                <w:szCs w:val="24"/>
              </w:rPr>
            </w:pPr>
            <w:r w:rsidRPr="00F20A1F">
              <w:rPr>
                <w:b/>
                <w:sz w:val="24"/>
                <w:szCs w:val="24"/>
              </w:rPr>
              <w:t>4.4.16.1.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4F" w:rsidRPr="00F20A1F" w:rsidRDefault="0080324F" w:rsidP="002D6DD4">
            <w:pPr>
              <w:rPr>
                <w:b/>
                <w:sz w:val="24"/>
                <w:szCs w:val="24"/>
              </w:rPr>
            </w:pPr>
            <w:r w:rsidRPr="00F20A1F">
              <w:rPr>
                <w:b/>
                <w:sz w:val="24"/>
                <w:szCs w:val="24"/>
              </w:rPr>
              <w:t>на бумажном носителе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4F" w:rsidRPr="00F20A1F" w:rsidRDefault="0080324F" w:rsidP="002D6DD4">
            <w:pPr>
              <w:jc w:val="center"/>
              <w:rPr>
                <w:b/>
                <w:bCs/>
                <w:sz w:val="24"/>
                <w:szCs w:val="24"/>
              </w:rPr>
            </w:pPr>
            <w:r w:rsidRPr="00F20A1F">
              <w:rPr>
                <w:b/>
                <w:bCs/>
                <w:sz w:val="24"/>
                <w:szCs w:val="24"/>
              </w:rPr>
              <w:t>25.00 BYN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367DA9" w:rsidRDefault="0080324F" w:rsidP="002D6DD4">
            <w:pPr>
              <w:jc w:val="center"/>
              <w:rPr>
                <w:b/>
                <w:bCs/>
                <w:sz w:val="24"/>
                <w:szCs w:val="24"/>
              </w:rPr>
            </w:pPr>
            <w:r w:rsidRPr="00367DA9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1A78B8" w:rsidRDefault="0080324F" w:rsidP="002D6DD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A78B8">
              <w:rPr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1A78B8" w:rsidRDefault="0080324F" w:rsidP="002D6DD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0324F" w:rsidRPr="001A78B8" w:rsidTr="002D6DD4">
        <w:trPr>
          <w:trHeight w:val="41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24F" w:rsidRPr="00F20A1F" w:rsidRDefault="0080324F" w:rsidP="002D6DD4">
            <w:pPr>
              <w:jc w:val="center"/>
              <w:rPr>
                <w:b/>
                <w:sz w:val="24"/>
                <w:szCs w:val="24"/>
              </w:rPr>
            </w:pPr>
            <w:r w:rsidRPr="00F20A1F">
              <w:rPr>
                <w:b/>
                <w:sz w:val="24"/>
                <w:szCs w:val="24"/>
              </w:rPr>
              <w:t>4.4.16.2.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4F" w:rsidRPr="00F20A1F" w:rsidRDefault="0080324F" w:rsidP="002D6DD4">
            <w:pPr>
              <w:rPr>
                <w:b/>
                <w:sz w:val="24"/>
                <w:szCs w:val="24"/>
              </w:rPr>
            </w:pPr>
            <w:r w:rsidRPr="00F20A1F">
              <w:rPr>
                <w:b/>
                <w:sz w:val="24"/>
                <w:szCs w:val="24"/>
              </w:rPr>
              <w:t>с использованием рабочего места «Офис в банке»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4F" w:rsidRPr="00F20A1F" w:rsidRDefault="0080324F" w:rsidP="002D6DD4">
            <w:pPr>
              <w:jc w:val="center"/>
              <w:rPr>
                <w:b/>
                <w:bCs/>
                <w:sz w:val="24"/>
                <w:szCs w:val="24"/>
              </w:rPr>
            </w:pPr>
            <w:r w:rsidRPr="00F20A1F">
              <w:rPr>
                <w:b/>
                <w:bCs/>
                <w:sz w:val="24"/>
                <w:szCs w:val="24"/>
              </w:rPr>
              <w:t>12.00 BYN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367DA9" w:rsidRDefault="0080324F" w:rsidP="002D6DD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67DA9"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1A78B8" w:rsidRDefault="0080324F" w:rsidP="002D6DD4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24F" w:rsidRPr="001A78B8" w:rsidRDefault="0080324F" w:rsidP="002D6DD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80324F" w:rsidRDefault="0080324F" w:rsidP="0080324F">
      <w:pPr>
        <w:ind w:left="1069"/>
        <w:jc w:val="right"/>
        <w:rPr>
          <w:sz w:val="28"/>
          <w:szCs w:val="28"/>
          <w:lang w:val="en-US"/>
        </w:rPr>
      </w:pPr>
      <w:r w:rsidRPr="00834EE5">
        <w:rPr>
          <w:sz w:val="28"/>
          <w:szCs w:val="28"/>
        </w:rPr>
        <w:t>»;</w:t>
      </w:r>
    </w:p>
    <w:p w:rsidR="0080324F" w:rsidRPr="00EA523A" w:rsidRDefault="0080324F" w:rsidP="0080324F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10909">
        <w:rPr>
          <w:sz w:val="28"/>
          <w:szCs w:val="28"/>
        </w:rPr>
        <w:t>ункт 5.1.1 Пакета операций по обслуживанию юридических лиц и индивиду</w:t>
      </w:r>
      <w:r>
        <w:rPr>
          <w:sz w:val="28"/>
          <w:szCs w:val="28"/>
        </w:rPr>
        <w:t xml:space="preserve">альных предпринимателей «Микро» </w:t>
      </w:r>
      <w:r w:rsidRPr="00EA523A">
        <w:rPr>
          <w:sz w:val="28"/>
          <w:szCs w:val="28"/>
        </w:rPr>
        <w:t>изложить в следующей редакции:</w:t>
      </w:r>
    </w:p>
    <w:p w:rsidR="0080324F" w:rsidRPr="001A78B8" w:rsidRDefault="0080324F" w:rsidP="0080324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A78B8">
        <w:rPr>
          <w:sz w:val="28"/>
          <w:szCs w:val="28"/>
        </w:rPr>
        <w:t>«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60"/>
        <w:gridCol w:w="8520"/>
        <w:gridCol w:w="5336"/>
      </w:tblGrid>
      <w:tr w:rsidR="0080324F" w:rsidRPr="00EA523A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 xml:space="preserve">№ </w:t>
            </w:r>
            <w:proofErr w:type="gramStart"/>
            <w:r w:rsidRPr="00EA523A">
              <w:rPr>
                <w:sz w:val="18"/>
                <w:szCs w:val="18"/>
              </w:rPr>
              <w:t>п</w:t>
            </w:r>
            <w:proofErr w:type="gramEnd"/>
            <w:r w:rsidRPr="00EA523A">
              <w:rPr>
                <w:sz w:val="18"/>
                <w:szCs w:val="18"/>
              </w:rPr>
              <w:t>/п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EA523A" w:rsidRDefault="0080324F" w:rsidP="002D6DD4">
            <w:pPr>
              <w:jc w:val="center"/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Наименование операции, включенной в Пакет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EA523A" w:rsidRDefault="0080324F" w:rsidP="002D6DD4">
            <w:pPr>
              <w:jc w:val="center"/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Основной размер вознаграждения</w:t>
            </w:r>
          </w:p>
        </w:tc>
      </w:tr>
      <w:tr w:rsidR="0080324F" w:rsidRPr="00EA523A" w:rsidTr="002D6DD4">
        <w:trPr>
          <w:trHeight w:val="30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80324F" w:rsidRPr="00EA523A" w:rsidRDefault="0080324F" w:rsidP="002D6DD4">
            <w:pPr>
              <w:rPr>
                <w:b/>
                <w:bCs/>
                <w:sz w:val="18"/>
                <w:szCs w:val="18"/>
              </w:rPr>
            </w:pPr>
            <w:r w:rsidRPr="00EA523A">
              <w:rPr>
                <w:b/>
                <w:bCs/>
                <w:sz w:val="18"/>
                <w:szCs w:val="18"/>
              </w:rPr>
              <w:t xml:space="preserve">5.1.1. ПАКЕТ операций по обслуживанию </w:t>
            </w:r>
            <w:r w:rsidRPr="00D13591">
              <w:rPr>
                <w:b/>
                <w:bCs/>
                <w:color w:val="000000" w:themeColor="text1"/>
                <w:sz w:val="18"/>
                <w:szCs w:val="18"/>
              </w:rPr>
              <w:t xml:space="preserve">юридических лиц и </w:t>
            </w:r>
            <w:r w:rsidRPr="00EA523A">
              <w:rPr>
                <w:b/>
                <w:bCs/>
                <w:sz w:val="18"/>
                <w:szCs w:val="18"/>
              </w:rPr>
              <w:t>индивидуальных предпринимателей «МИКРО»</w:t>
            </w:r>
          </w:p>
        </w:tc>
      </w:tr>
      <w:tr w:rsidR="0080324F" w:rsidRPr="00EA523A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EA523A">
              <w:rPr>
                <w:b/>
                <w:bCs/>
                <w:sz w:val="18"/>
                <w:szCs w:val="18"/>
              </w:rPr>
              <w:t>ЕЖЕМЕСЯЧНАЯ ПЛАТА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367DA9" w:rsidRDefault="0080324F" w:rsidP="002D6DD4">
            <w:pPr>
              <w:jc w:val="center"/>
              <w:rPr>
                <w:b/>
                <w:bCs/>
                <w:sz w:val="22"/>
                <w:szCs w:val="22"/>
              </w:rPr>
            </w:pPr>
            <w:r w:rsidRPr="00367DA9">
              <w:rPr>
                <w:b/>
                <w:bCs/>
                <w:sz w:val="22"/>
                <w:szCs w:val="22"/>
              </w:rPr>
              <w:t>17.00 BYN</w:t>
            </w:r>
          </w:p>
        </w:tc>
      </w:tr>
      <w:tr w:rsidR="0080324F" w:rsidRPr="00EA523A" w:rsidTr="002D6DD4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ОТКРЫТИЕ И ОБСЛУЖИВАНИЕ (ВЕДЕНИЕ) СЧЕТОВ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EA523A" w:rsidRDefault="0080324F" w:rsidP="002D6D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A523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0324F" w:rsidRPr="00EA523A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1.1.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Открытие текущего (расчетного) банковского счета/ субсчета/ специального счета в белорусских рублях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EA523A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EA523A">
              <w:rPr>
                <w:b/>
                <w:bCs/>
                <w:sz w:val="18"/>
                <w:szCs w:val="18"/>
              </w:rPr>
              <w:t>В Пакет операций включено открытие 1 счета</w:t>
            </w:r>
          </w:p>
        </w:tc>
      </w:tr>
      <w:tr w:rsidR="0080324F" w:rsidRPr="00EA523A" w:rsidTr="002D6DD4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1.2.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EA523A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EA523A">
              <w:rPr>
                <w:b/>
                <w:bCs/>
                <w:sz w:val="18"/>
                <w:szCs w:val="18"/>
              </w:rPr>
              <w:t>Без ограничения количества подписей</w:t>
            </w:r>
          </w:p>
        </w:tc>
      </w:tr>
      <w:tr w:rsidR="0080324F" w:rsidRPr="00EA523A" w:rsidTr="002D6DD4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1.3.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EA523A" w:rsidRDefault="0080324F" w:rsidP="002D6D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A523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0324F" w:rsidRPr="00EA523A" w:rsidTr="002D6DD4">
        <w:trPr>
          <w:trHeight w:val="2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1.4.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 xml:space="preserve">Ведение картотеки к </w:t>
            </w:r>
            <w:proofErr w:type="spellStart"/>
            <w:r w:rsidRPr="00EA523A">
              <w:rPr>
                <w:sz w:val="18"/>
                <w:szCs w:val="18"/>
              </w:rPr>
              <w:t>внебалансовому</w:t>
            </w:r>
            <w:proofErr w:type="spellEnd"/>
            <w:r w:rsidRPr="00EA523A">
              <w:rPr>
                <w:sz w:val="18"/>
                <w:szCs w:val="18"/>
              </w:rPr>
              <w:t xml:space="preserve"> счету «Расчетные документы, не оплаченные в срок»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EA523A" w:rsidRDefault="0080324F" w:rsidP="002D6D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A523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0324F" w:rsidRPr="00EA523A" w:rsidTr="00D13591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1.5.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 xml:space="preserve">Исполнение переводов в системе BISS: </w:t>
            </w:r>
            <w:r w:rsidRPr="00EA523A">
              <w:rPr>
                <w:sz w:val="18"/>
                <w:szCs w:val="18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EA523A" w:rsidRDefault="0080324F" w:rsidP="002D6DD4">
            <w:pPr>
              <w:jc w:val="both"/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 </w:t>
            </w:r>
          </w:p>
        </w:tc>
      </w:tr>
      <w:tr w:rsidR="0080324F" w:rsidRPr="00EA523A" w:rsidTr="00D13591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 xml:space="preserve">    включено в Пакет операций;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EA523A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EA523A">
              <w:rPr>
                <w:b/>
                <w:bCs/>
                <w:sz w:val="18"/>
                <w:szCs w:val="18"/>
              </w:rPr>
              <w:t>3 в месяц</w:t>
            </w:r>
          </w:p>
        </w:tc>
      </w:tr>
      <w:tr w:rsidR="0080324F" w:rsidRPr="00EA523A" w:rsidTr="00D13591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 xml:space="preserve">    сверх Пакета операций – за один документ; 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EA523A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EA523A">
              <w:rPr>
                <w:b/>
                <w:bCs/>
                <w:sz w:val="18"/>
                <w:szCs w:val="18"/>
              </w:rPr>
              <w:t>1.40 BYN</w:t>
            </w:r>
          </w:p>
        </w:tc>
      </w:tr>
      <w:tr w:rsidR="0080324F" w:rsidRPr="00EA523A" w:rsidTr="00D13591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1.6.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Исполнение переводов в расчетной системе Банка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EA523A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EA523A">
              <w:rPr>
                <w:b/>
                <w:bCs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80324F" w:rsidRPr="00EA523A" w:rsidTr="002D6DD4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1.7.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Прием и обработка расчетных документов, представленных на инкассо:</w:t>
            </w:r>
            <w:r w:rsidRPr="00EA523A">
              <w:rPr>
                <w:sz w:val="18"/>
                <w:szCs w:val="18"/>
              </w:rPr>
              <w:br/>
              <w:t>платежных требований, переданных в электронном виде: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EA523A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EA523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0324F" w:rsidRPr="00EA523A" w:rsidTr="002D6DD4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за один документ.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EA523A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EA523A">
              <w:rPr>
                <w:b/>
                <w:bCs/>
                <w:sz w:val="18"/>
                <w:szCs w:val="18"/>
              </w:rPr>
              <w:t>1.00 BYN</w:t>
            </w:r>
          </w:p>
        </w:tc>
      </w:tr>
      <w:tr w:rsidR="0080324F" w:rsidRPr="00EA523A" w:rsidTr="002D6DD4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ДИСТАНЦИОННОЕ БАНКОВСКОЕ ОБСЛУЖИВАНИЕ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jc w:val="both"/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 </w:t>
            </w:r>
          </w:p>
        </w:tc>
      </w:tr>
      <w:tr w:rsidR="0080324F" w:rsidRPr="00EA523A" w:rsidTr="002D6DD4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2.1.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Подключение клиента к подсистеме «Интернет-клиент» системы ДБО «BS-</w:t>
            </w:r>
            <w:proofErr w:type="spellStart"/>
            <w:r w:rsidRPr="00EA523A">
              <w:rPr>
                <w:sz w:val="18"/>
                <w:szCs w:val="18"/>
              </w:rPr>
              <w:t>Client</w:t>
            </w:r>
            <w:proofErr w:type="spellEnd"/>
            <w:r w:rsidRPr="00EA523A">
              <w:rPr>
                <w:sz w:val="18"/>
                <w:szCs w:val="18"/>
              </w:rPr>
              <w:t>»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EA523A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EA523A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EA523A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2.2.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EA523A">
              <w:rPr>
                <w:sz w:val="18"/>
                <w:szCs w:val="18"/>
              </w:rPr>
              <w:t>Client</w:t>
            </w:r>
            <w:proofErr w:type="spellEnd"/>
            <w:r w:rsidRPr="00EA523A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EA523A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EA523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0324F" w:rsidRPr="00EA523A" w:rsidTr="002D6DD4">
        <w:trPr>
          <w:trHeight w:val="23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rPr>
                <w:sz w:val="18"/>
                <w:szCs w:val="18"/>
              </w:rPr>
            </w:pPr>
            <w:proofErr w:type="gramStart"/>
            <w:r w:rsidRPr="00EA523A">
              <w:rPr>
                <w:sz w:val="18"/>
                <w:szCs w:val="18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EA523A">
              <w:rPr>
                <w:sz w:val="18"/>
                <w:szCs w:val="18"/>
              </w:rPr>
              <w:t>Client</w:t>
            </w:r>
            <w:proofErr w:type="spellEnd"/>
            <w:r w:rsidRPr="00EA523A">
              <w:rPr>
                <w:sz w:val="18"/>
                <w:szCs w:val="18"/>
              </w:rPr>
              <w:t>» по запросу клиента:</w:t>
            </w:r>
            <w:r w:rsidRPr="00EA523A">
              <w:rPr>
                <w:sz w:val="18"/>
                <w:szCs w:val="18"/>
              </w:rPr>
              <w:br/>
              <w:t xml:space="preserve">о состоянии картотеки; </w:t>
            </w:r>
            <w:r w:rsidRPr="00EA523A">
              <w:rPr>
                <w:sz w:val="18"/>
                <w:szCs w:val="18"/>
              </w:rPr>
              <w:br/>
              <w:t xml:space="preserve">о забронированных денежных средствах; </w:t>
            </w:r>
            <w:r w:rsidRPr="00EA523A">
              <w:rPr>
                <w:sz w:val="18"/>
                <w:szCs w:val="18"/>
              </w:rPr>
              <w:br/>
              <w:t xml:space="preserve">об исполнении платежных требований, в </w:t>
            </w:r>
            <w:proofErr w:type="spellStart"/>
            <w:r w:rsidRPr="00EA523A">
              <w:rPr>
                <w:sz w:val="18"/>
                <w:szCs w:val="18"/>
              </w:rPr>
              <w:t>т.ч</w:t>
            </w:r>
            <w:proofErr w:type="spellEnd"/>
            <w:r w:rsidRPr="00EA523A">
              <w:rPr>
                <w:sz w:val="18"/>
                <w:szCs w:val="18"/>
              </w:rPr>
              <w:t>. принятых на инкассо;</w:t>
            </w:r>
            <w:r w:rsidRPr="00EA523A">
              <w:rPr>
                <w:sz w:val="18"/>
                <w:szCs w:val="18"/>
              </w:rPr>
              <w:br/>
              <w:t xml:space="preserve">об ограничениях/отмене ограничений по счетам органами взыскания; </w:t>
            </w:r>
            <w:r w:rsidRPr="00EA523A">
              <w:rPr>
                <w:sz w:val="18"/>
                <w:szCs w:val="18"/>
              </w:rPr>
              <w:br/>
              <w:t>о поступивших/отозванных распоряжениях ИМНС;</w:t>
            </w:r>
            <w:r w:rsidRPr="00EA523A">
              <w:rPr>
                <w:sz w:val="18"/>
                <w:szCs w:val="18"/>
              </w:rPr>
              <w:br/>
              <w:t>об открытых (действующих) депозитах;</w:t>
            </w:r>
            <w:r w:rsidRPr="00EA523A">
              <w:rPr>
                <w:sz w:val="18"/>
                <w:szCs w:val="18"/>
              </w:rPr>
              <w:br/>
              <w:t>о платежах, принятых в пользу клиента за товары, работы (услуги);</w:t>
            </w:r>
            <w:proofErr w:type="gramEnd"/>
            <w:r w:rsidRPr="00EA523A">
              <w:rPr>
                <w:sz w:val="18"/>
                <w:szCs w:val="18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EA523A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EA523A">
              <w:rPr>
                <w:b/>
                <w:bCs/>
                <w:sz w:val="18"/>
                <w:szCs w:val="18"/>
              </w:rPr>
              <w:t>Без ограничения количества запросов</w:t>
            </w:r>
          </w:p>
        </w:tc>
      </w:tr>
      <w:tr w:rsidR="0080324F" w:rsidRPr="00EA523A" w:rsidTr="002D6DD4">
        <w:trPr>
          <w:trHeight w:val="33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EA523A" w:rsidRDefault="0080324F" w:rsidP="002D6DD4">
            <w:pPr>
              <w:jc w:val="both"/>
              <w:rPr>
                <w:sz w:val="18"/>
                <w:szCs w:val="18"/>
              </w:rPr>
            </w:pPr>
            <w:r w:rsidRPr="00EA523A">
              <w:rPr>
                <w:sz w:val="18"/>
                <w:szCs w:val="18"/>
              </w:rPr>
              <w:t>Примечание: *C 01.02.2017 подключение к настоящему Пакету операций не производится.</w:t>
            </w:r>
          </w:p>
        </w:tc>
      </w:tr>
    </w:tbl>
    <w:p w:rsidR="0080324F" w:rsidRDefault="0080324F" w:rsidP="0080324F">
      <w:pPr>
        <w:ind w:left="1069"/>
        <w:jc w:val="right"/>
        <w:rPr>
          <w:sz w:val="28"/>
          <w:szCs w:val="28"/>
          <w:lang w:val="en-US"/>
        </w:rPr>
      </w:pPr>
      <w:r w:rsidRPr="00834EE5">
        <w:rPr>
          <w:sz w:val="28"/>
          <w:szCs w:val="28"/>
        </w:rPr>
        <w:t>»;</w:t>
      </w:r>
    </w:p>
    <w:p w:rsidR="0080324F" w:rsidRPr="00EA523A" w:rsidRDefault="0080324F" w:rsidP="0080324F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10909">
        <w:rPr>
          <w:sz w:val="28"/>
          <w:szCs w:val="28"/>
        </w:rPr>
        <w:t>ункт 5.1.</w:t>
      </w:r>
      <w:r>
        <w:rPr>
          <w:sz w:val="28"/>
          <w:szCs w:val="28"/>
        </w:rPr>
        <w:t>2</w:t>
      </w:r>
      <w:r w:rsidRPr="00C10909">
        <w:rPr>
          <w:sz w:val="28"/>
          <w:szCs w:val="28"/>
        </w:rPr>
        <w:t xml:space="preserve"> Пакета операций по обслуживанию юридических лиц и индивиду</w:t>
      </w:r>
      <w:r>
        <w:rPr>
          <w:sz w:val="28"/>
          <w:szCs w:val="28"/>
        </w:rPr>
        <w:t xml:space="preserve">альных предпринимателей «Легкий» </w:t>
      </w:r>
      <w:r w:rsidRPr="00EA523A">
        <w:rPr>
          <w:sz w:val="28"/>
          <w:szCs w:val="28"/>
        </w:rPr>
        <w:t>изложить в следующей редакции:</w:t>
      </w:r>
    </w:p>
    <w:p w:rsidR="0080324F" w:rsidRPr="001A78B8" w:rsidRDefault="0080324F" w:rsidP="0080324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A78B8">
        <w:rPr>
          <w:sz w:val="28"/>
          <w:szCs w:val="28"/>
        </w:rPr>
        <w:t>«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60"/>
        <w:gridCol w:w="8520"/>
        <w:gridCol w:w="5336"/>
      </w:tblGrid>
      <w:tr w:rsidR="0080324F" w:rsidRPr="00D24E7B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№ </w:t>
            </w:r>
            <w:proofErr w:type="gramStart"/>
            <w:r w:rsidRPr="00D24E7B">
              <w:rPr>
                <w:sz w:val="18"/>
                <w:szCs w:val="18"/>
              </w:rPr>
              <w:t>п</w:t>
            </w:r>
            <w:proofErr w:type="gramEnd"/>
            <w:r w:rsidRPr="00D24E7B">
              <w:rPr>
                <w:sz w:val="18"/>
                <w:szCs w:val="18"/>
              </w:rPr>
              <w:t>/п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Наименование операции, включенной в Пакет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Основной размер вознаграждения</w:t>
            </w:r>
          </w:p>
        </w:tc>
      </w:tr>
      <w:tr w:rsidR="0080324F" w:rsidRPr="00D24E7B" w:rsidTr="002D6DD4">
        <w:trPr>
          <w:trHeight w:val="30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80324F" w:rsidRPr="00D24E7B" w:rsidRDefault="0080324F" w:rsidP="002D6DD4">
            <w:pPr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 xml:space="preserve">5.1.2. ПАКЕТ операций по обслуживанию </w:t>
            </w:r>
            <w:r w:rsidRPr="00D13591">
              <w:rPr>
                <w:b/>
                <w:bCs/>
                <w:color w:val="000000" w:themeColor="text1"/>
                <w:sz w:val="18"/>
                <w:szCs w:val="18"/>
              </w:rPr>
              <w:t xml:space="preserve">юридических лиц и </w:t>
            </w:r>
            <w:r w:rsidRPr="00D24E7B">
              <w:rPr>
                <w:b/>
                <w:bCs/>
                <w:sz w:val="18"/>
                <w:szCs w:val="18"/>
              </w:rPr>
              <w:t>индивидуальных предпринимателей «ЛЕГКИЙ»</w:t>
            </w:r>
          </w:p>
        </w:tc>
      </w:tr>
      <w:tr w:rsidR="0080324F" w:rsidRPr="00D24E7B" w:rsidTr="002D6DD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ЕЖЕМЕСЯЧНАЯ ПЛАТА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312D11" w:rsidRDefault="0080324F" w:rsidP="002D6DD4">
            <w:pPr>
              <w:jc w:val="center"/>
              <w:rPr>
                <w:b/>
                <w:bCs/>
                <w:sz w:val="24"/>
                <w:szCs w:val="24"/>
              </w:rPr>
            </w:pPr>
            <w:r w:rsidRPr="00312D11">
              <w:rPr>
                <w:b/>
                <w:bCs/>
                <w:sz w:val="24"/>
                <w:szCs w:val="24"/>
              </w:rPr>
              <w:t>19.00 BYN</w:t>
            </w:r>
          </w:p>
        </w:tc>
      </w:tr>
      <w:tr w:rsidR="0080324F" w:rsidRPr="00D24E7B" w:rsidTr="002D6DD4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ОТКРЫТИЕ И ОБСЛУЖИВАНИЕ (ВЕДЕНИЕ) СЧЕТОВ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24E7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Открытие текущего (расчетного) банковского счета/ субсчета/ специального счета в белорусских рублях  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В Пакет операций включено открытие 1 счета</w:t>
            </w:r>
          </w:p>
        </w:tc>
      </w:tr>
      <w:tr w:rsidR="0080324F" w:rsidRPr="00D24E7B" w:rsidTr="002D6DD4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Без ограничения количества подписей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24E7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1.4.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Ведение картотеки к </w:t>
            </w:r>
            <w:proofErr w:type="spellStart"/>
            <w:r w:rsidRPr="00D24E7B">
              <w:rPr>
                <w:sz w:val="18"/>
                <w:szCs w:val="18"/>
              </w:rPr>
              <w:t>внебалансовому</w:t>
            </w:r>
            <w:proofErr w:type="spellEnd"/>
            <w:r w:rsidRPr="00D24E7B">
              <w:rPr>
                <w:sz w:val="18"/>
                <w:szCs w:val="18"/>
              </w:rPr>
              <w:t xml:space="preserve"> счету «Расчетные документы, не оплаченные в срок»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24E7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0324F" w:rsidRPr="00D24E7B" w:rsidTr="002D6DD4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1.5.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Исполнение переводов в системе BISS: </w:t>
            </w:r>
            <w:r w:rsidRPr="00D24E7B">
              <w:rPr>
                <w:sz w:val="18"/>
                <w:szCs w:val="18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both"/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    включено в Пакет операций;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5 в месяц</w:t>
            </w:r>
          </w:p>
        </w:tc>
      </w:tr>
      <w:tr w:rsidR="0080324F" w:rsidRPr="00D24E7B" w:rsidTr="002D6DD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    сверх Пакета операций – за один документ; 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1.38 BYN</w:t>
            </w:r>
          </w:p>
        </w:tc>
      </w:tr>
      <w:tr w:rsidR="0080324F" w:rsidRPr="00D24E7B" w:rsidTr="002D6DD4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1.6.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Исполнение переводов в расчетной системе Банка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80324F" w:rsidRPr="00D24E7B" w:rsidTr="002D6DD4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1.7.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Прием и обработка расчетных документов, представленных на инкассо:</w:t>
            </w:r>
            <w:r w:rsidRPr="00D24E7B">
              <w:rPr>
                <w:sz w:val="18"/>
                <w:szCs w:val="18"/>
              </w:rPr>
              <w:br/>
              <w:t>платежных требований, переданных в электронном виде: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за один документ.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1.00 BYN</w:t>
            </w:r>
          </w:p>
        </w:tc>
      </w:tr>
      <w:tr w:rsidR="0080324F" w:rsidRPr="00D24E7B" w:rsidTr="002D6DD4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ДИСТАНЦИОННОЕ БАНКОВСКОЕ ОБСЛУЖИВАНИЕ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both"/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2.1.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Подключение клиента к подсистеме «Интернет-клиент» системы ДБО «BS-</w:t>
            </w:r>
            <w:proofErr w:type="spellStart"/>
            <w:r w:rsidRPr="00D24E7B">
              <w:rPr>
                <w:sz w:val="18"/>
                <w:szCs w:val="18"/>
              </w:rPr>
              <w:t>Client</w:t>
            </w:r>
            <w:proofErr w:type="spellEnd"/>
            <w:r w:rsidRPr="00D24E7B">
              <w:rPr>
                <w:sz w:val="18"/>
                <w:szCs w:val="18"/>
              </w:rPr>
              <w:t>»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2.2.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D24E7B">
              <w:rPr>
                <w:sz w:val="18"/>
                <w:szCs w:val="18"/>
              </w:rPr>
              <w:t>Client</w:t>
            </w:r>
            <w:proofErr w:type="spellEnd"/>
            <w:r w:rsidRPr="00D24E7B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2316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proofErr w:type="gramStart"/>
            <w:r w:rsidRPr="00D24E7B">
              <w:rPr>
                <w:sz w:val="18"/>
                <w:szCs w:val="18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D24E7B">
              <w:rPr>
                <w:sz w:val="18"/>
                <w:szCs w:val="18"/>
              </w:rPr>
              <w:t>Client</w:t>
            </w:r>
            <w:proofErr w:type="spellEnd"/>
            <w:r w:rsidRPr="00D24E7B">
              <w:rPr>
                <w:sz w:val="18"/>
                <w:szCs w:val="18"/>
              </w:rPr>
              <w:t>» по запросу клиента:</w:t>
            </w:r>
            <w:r w:rsidRPr="00D24E7B">
              <w:rPr>
                <w:sz w:val="18"/>
                <w:szCs w:val="18"/>
              </w:rPr>
              <w:br/>
              <w:t xml:space="preserve">о состоянии картотеки; </w:t>
            </w:r>
            <w:r w:rsidRPr="00D24E7B">
              <w:rPr>
                <w:sz w:val="18"/>
                <w:szCs w:val="18"/>
              </w:rPr>
              <w:br/>
              <w:t xml:space="preserve">о забронированных денежных средствах; </w:t>
            </w:r>
            <w:r w:rsidRPr="00D24E7B">
              <w:rPr>
                <w:sz w:val="18"/>
                <w:szCs w:val="18"/>
              </w:rPr>
              <w:br/>
              <w:t xml:space="preserve">об исполнении платежных требований, в </w:t>
            </w:r>
            <w:proofErr w:type="spellStart"/>
            <w:r w:rsidRPr="00D24E7B">
              <w:rPr>
                <w:sz w:val="18"/>
                <w:szCs w:val="18"/>
              </w:rPr>
              <w:t>т.ч</w:t>
            </w:r>
            <w:proofErr w:type="spellEnd"/>
            <w:r w:rsidRPr="00D24E7B">
              <w:rPr>
                <w:sz w:val="18"/>
                <w:szCs w:val="18"/>
              </w:rPr>
              <w:t>. принятых на инкассо;</w:t>
            </w:r>
            <w:r w:rsidRPr="00D24E7B">
              <w:rPr>
                <w:sz w:val="18"/>
                <w:szCs w:val="18"/>
              </w:rPr>
              <w:br/>
              <w:t xml:space="preserve">об ограничениях/отмене ограничений по счетам органами взыскания; </w:t>
            </w:r>
            <w:r w:rsidRPr="00D24E7B">
              <w:rPr>
                <w:sz w:val="18"/>
                <w:szCs w:val="18"/>
              </w:rPr>
              <w:br/>
              <w:t>о поступивших/отозванных распоряжениях ИМНС;</w:t>
            </w:r>
            <w:r w:rsidRPr="00D24E7B">
              <w:rPr>
                <w:sz w:val="18"/>
                <w:szCs w:val="18"/>
              </w:rPr>
              <w:br/>
              <w:t>об открытых (действующих) депозитах;</w:t>
            </w:r>
            <w:r w:rsidRPr="00D24E7B">
              <w:rPr>
                <w:sz w:val="18"/>
                <w:szCs w:val="18"/>
              </w:rPr>
              <w:br/>
              <w:t>о платежах, принятых в пользу клиента за товары, работы (услуги);</w:t>
            </w:r>
            <w:proofErr w:type="gramEnd"/>
            <w:r w:rsidRPr="00D24E7B">
              <w:rPr>
                <w:sz w:val="18"/>
                <w:szCs w:val="18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Без ограничения количества запросов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2.4.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Подключение клиента к системе «Мобильный клиент»  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2.5.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3.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3.1.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5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3.2.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В Пакет операций включено обслуживание 2 карточек (</w:t>
            </w:r>
            <w:proofErr w:type="spellStart"/>
            <w:r w:rsidRPr="00D24E7B">
              <w:rPr>
                <w:b/>
                <w:bCs/>
                <w:sz w:val="18"/>
                <w:szCs w:val="18"/>
              </w:rPr>
              <w:t>Master</w:t>
            </w:r>
            <w:proofErr w:type="spellEnd"/>
            <w:r w:rsidRPr="00D24E7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4E7B">
              <w:rPr>
                <w:b/>
                <w:bCs/>
                <w:sz w:val="18"/>
                <w:szCs w:val="18"/>
              </w:rPr>
              <w:t>Card</w:t>
            </w:r>
            <w:proofErr w:type="spellEnd"/>
            <w:r w:rsidRPr="00D24E7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4E7B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D24E7B">
              <w:rPr>
                <w:b/>
                <w:bCs/>
                <w:sz w:val="18"/>
                <w:szCs w:val="18"/>
              </w:rPr>
              <w:t xml:space="preserve"> и/или </w:t>
            </w:r>
            <w:proofErr w:type="spellStart"/>
            <w:r w:rsidRPr="00D24E7B">
              <w:rPr>
                <w:b/>
                <w:bCs/>
                <w:sz w:val="18"/>
                <w:szCs w:val="18"/>
              </w:rPr>
              <w:t>Visa</w:t>
            </w:r>
            <w:proofErr w:type="spellEnd"/>
            <w:r w:rsidRPr="00D24E7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4E7B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D24E7B">
              <w:rPr>
                <w:b/>
                <w:bCs/>
                <w:sz w:val="18"/>
                <w:szCs w:val="18"/>
              </w:rPr>
              <w:t>) единожды</w:t>
            </w:r>
          </w:p>
        </w:tc>
      </w:tr>
      <w:tr w:rsidR="0080324F" w:rsidRPr="00D24E7B" w:rsidTr="002D6DD4">
        <w:trPr>
          <w:trHeight w:val="30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both"/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Примечание: *C 01.02.2017 подключение к настоящему Пакету операций не производится.</w:t>
            </w:r>
          </w:p>
        </w:tc>
      </w:tr>
    </w:tbl>
    <w:p w:rsidR="0080324F" w:rsidRDefault="0080324F" w:rsidP="0080324F">
      <w:pPr>
        <w:ind w:left="1069"/>
        <w:jc w:val="right"/>
        <w:rPr>
          <w:sz w:val="28"/>
          <w:szCs w:val="28"/>
          <w:lang w:val="en-US"/>
        </w:rPr>
      </w:pPr>
      <w:r w:rsidRPr="00834EE5">
        <w:rPr>
          <w:sz w:val="28"/>
          <w:szCs w:val="28"/>
        </w:rPr>
        <w:t>»;</w:t>
      </w:r>
    </w:p>
    <w:p w:rsidR="0080324F" w:rsidRPr="00EA523A" w:rsidRDefault="0080324F" w:rsidP="0080324F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10909">
        <w:rPr>
          <w:sz w:val="28"/>
          <w:szCs w:val="28"/>
        </w:rPr>
        <w:t>ункт 5.1.</w:t>
      </w:r>
      <w:r>
        <w:rPr>
          <w:sz w:val="28"/>
          <w:szCs w:val="28"/>
        </w:rPr>
        <w:t>3</w:t>
      </w:r>
      <w:r w:rsidRPr="00C10909">
        <w:rPr>
          <w:sz w:val="28"/>
          <w:szCs w:val="28"/>
        </w:rPr>
        <w:t xml:space="preserve"> Пакета операций по обслуживанию юридических лиц и индивиду</w:t>
      </w:r>
      <w:r>
        <w:rPr>
          <w:sz w:val="28"/>
          <w:szCs w:val="28"/>
        </w:rPr>
        <w:t xml:space="preserve">альных предпринимателей «Минимальный» </w:t>
      </w:r>
      <w:r w:rsidRPr="00EA523A">
        <w:rPr>
          <w:sz w:val="28"/>
          <w:szCs w:val="28"/>
        </w:rPr>
        <w:t>изложить в следующей редакции:</w:t>
      </w:r>
    </w:p>
    <w:p w:rsidR="0080324F" w:rsidRPr="001A78B8" w:rsidRDefault="0080324F" w:rsidP="0080324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A78B8">
        <w:rPr>
          <w:sz w:val="28"/>
          <w:szCs w:val="28"/>
        </w:rPr>
        <w:t>«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60"/>
        <w:gridCol w:w="8520"/>
        <w:gridCol w:w="5336"/>
      </w:tblGrid>
      <w:tr w:rsidR="0080324F" w:rsidRPr="00D24E7B" w:rsidTr="002D6DD4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№ </w:t>
            </w:r>
            <w:proofErr w:type="gramStart"/>
            <w:r w:rsidRPr="00D24E7B">
              <w:rPr>
                <w:sz w:val="18"/>
                <w:szCs w:val="18"/>
              </w:rPr>
              <w:t>п</w:t>
            </w:r>
            <w:proofErr w:type="gramEnd"/>
            <w:r w:rsidRPr="00D24E7B">
              <w:rPr>
                <w:sz w:val="18"/>
                <w:szCs w:val="18"/>
              </w:rPr>
              <w:t>/п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Наименование операции, включенной в Пакет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Основной размер вознаграждения</w:t>
            </w:r>
          </w:p>
        </w:tc>
      </w:tr>
      <w:tr w:rsidR="0080324F" w:rsidRPr="00D24E7B" w:rsidTr="002D6DD4">
        <w:trPr>
          <w:trHeight w:val="30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80324F" w:rsidRPr="00D24E7B" w:rsidRDefault="0080324F" w:rsidP="002D6DD4">
            <w:pPr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 xml:space="preserve">5.1.3. ПАКЕТ операций по обслуживанию </w:t>
            </w:r>
            <w:r w:rsidRPr="00D13591">
              <w:rPr>
                <w:b/>
                <w:bCs/>
                <w:color w:val="000000" w:themeColor="text1"/>
                <w:sz w:val="18"/>
                <w:szCs w:val="18"/>
              </w:rPr>
              <w:t xml:space="preserve">юридических лиц и </w:t>
            </w:r>
            <w:r w:rsidRPr="00D24E7B">
              <w:rPr>
                <w:b/>
                <w:bCs/>
                <w:sz w:val="18"/>
                <w:szCs w:val="18"/>
              </w:rPr>
              <w:t>индивидуальных предпринимателей «МИНИМАЛЬНЫЙ»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ЕЖЕМЕСЯЧНАЯ ПЛАТА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312D11" w:rsidRDefault="0080324F" w:rsidP="002D6DD4">
            <w:pPr>
              <w:jc w:val="center"/>
              <w:rPr>
                <w:b/>
                <w:bCs/>
                <w:sz w:val="24"/>
                <w:szCs w:val="24"/>
              </w:rPr>
            </w:pPr>
            <w:r w:rsidRPr="00312D11">
              <w:rPr>
                <w:b/>
                <w:bCs/>
                <w:sz w:val="24"/>
                <w:szCs w:val="24"/>
              </w:rPr>
              <w:t xml:space="preserve"> 24.50 BYN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ОТКРЫТИЕ И ОБСЛУЖИВАНИЕ (ВЕДЕНИЕ) СЧЕТОВ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24E7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1.1.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Открытие текущего (расчетного) банковского счета/ субсчета/ специального счета в белорусских рублях  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В Пакет операций включено открытие 1 счета</w:t>
            </w:r>
          </w:p>
        </w:tc>
      </w:tr>
      <w:tr w:rsidR="0080324F" w:rsidRPr="00D24E7B" w:rsidTr="002D6DD4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Без ограничения количества подписей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1.3.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24E7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1.4.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Ведение картотеки к </w:t>
            </w:r>
            <w:proofErr w:type="spellStart"/>
            <w:r w:rsidRPr="00D24E7B">
              <w:rPr>
                <w:sz w:val="18"/>
                <w:szCs w:val="18"/>
              </w:rPr>
              <w:t>внебалансовому</w:t>
            </w:r>
            <w:proofErr w:type="spellEnd"/>
            <w:r w:rsidRPr="00D24E7B">
              <w:rPr>
                <w:sz w:val="18"/>
                <w:szCs w:val="18"/>
              </w:rPr>
              <w:t xml:space="preserve"> счету «Расчетные документы, не оплаченные в срок»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24E7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0324F" w:rsidRPr="00D24E7B" w:rsidTr="002D6DD4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1.5.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Исполнение переводов в системе BISS: </w:t>
            </w:r>
            <w:r w:rsidRPr="00D24E7B">
              <w:rPr>
                <w:sz w:val="18"/>
                <w:szCs w:val="18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both"/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    включено в Пакет операций;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10 в месяц</w:t>
            </w:r>
          </w:p>
        </w:tc>
      </w:tr>
      <w:tr w:rsidR="0080324F" w:rsidRPr="00D24E7B" w:rsidTr="002D6DD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    сверх Пакета операций – за один документ; 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1.38 BYN</w:t>
            </w:r>
          </w:p>
        </w:tc>
      </w:tr>
      <w:tr w:rsidR="0080324F" w:rsidRPr="00D24E7B" w:rsidTr="002D6DD4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1.6.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Исполнение переводов в расчетной системе Банка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80324F" w:rsidRPr="00D24E7B" w:rsidTr="002D6DD4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lastRenderedPageBreak/>
              <w:t>1.7.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Прием и обработка расчетных документов, представленных на инкассо:</w:t>
            </w:r>
            <w:r w:rsidRPr="00D24E7B">
              <w:rPr>
                <w:sz w:val="18"/>
                <w:szCs w:val="18"/>
              </w:rPr>
              <w:br/>
              <w:t>платежных требований, переданных в электронном виде: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за один документ.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1.00 BYN</w:t>
            </w:r>
          </w:p>
        </w:tc>
      </w:tr>
      <w:tr w:rsidR="0080324F" w:rsidRPr="00D24E7B" w:rsidTr="002D6DD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ДИСТАНЦИОННОЕ БАНКОВСКОЕ ОБСЛУЖИВАНИЕ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both"/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2.1.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Подключение клиента к подсистеме «Интернет-клиент» системы ДБО «BS-</w:t>
            </w:r>
            <w:proofErr w:type="spellStart"/>
            <w:r w:rsidRPr="00D24E7B">
              <w:rPr>
                <w:sz w:val="18"/>
                <w:szCs w:val="18"/>
              </w:rPr>
              <w:t>Client</w:t>
            </w:r>
            <w:proofErr w:type="spellEnd"/>
            <w:r w:rsidRPr="00D24E7B">
              <w:rPr>
                <w:sz w:val="18"/>
                <w:szCs w:val="18"/>
              </w:rPr>
              <w:t>»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2.2.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D24E7B">
              <w:rPr>
                <w:sz w:val="18"/>
                <w:szCs w:val="18"/>
              </w:rPr>
              <w:t>Client</w:t>
            </w:r>
            <w:proofErr w:type="spellEnd"/>
            <w:r w:rsidRPr="00D24E7B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225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2.3.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proofErr w:type="gramStart"/>
            <w:r w:rsidRPr="00D24E7B">
              <w:rPr>
                <w:sz w:val="18"/>
                <w:szCs w:val="18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D24E7B">
              <w:rPr>
                <w:sz w:val="18"/>
                <w:szCs w:val="18"/>
              </w:rPr>
              <w:t>Client</w:t>
            </w:r>
            <w:proofErr w:type="spellEnd"/>
            <w:r w:rsidRPr="00D24E7B">
              <w:rPr>
                <w:sz w:val="18"/>
                <w:szCs w:val="18"/>
              </w:rPr>
              <w:t>» по запросу клиента:</w:t>
            </w:r>
            <w:r w:rsidRPr="00D24E7B">
              <w:rPr>
                <w:sz w:val="18"/>
                <w:szCs w:val="18"/>
              </w:rPr>
              <w:br/>
              <w:t xml:space="preserve">о состоянии картотеки; </w:t>
            </w:r>
            <w:r w:rsidRPr="00D24E7B">
              <w:rPr>
                <w:sz w:val="18"/>
                <w:szCs w:val="18"/>
              </w:rPr>
              <w:br/>
              <w:t xml:space="preserve">о забронированных денежных средствах; </w:t>
            </w:r>
            <w:r w:rsidRPr="00D24E7B">
              <w:rPr>
                <w:sz w:val="18"/>
                <w:szCs w:val="18"/>
              </w:rPr>
              <w:br/>
              <w:t xml:space="preserve">об исполнении платежных требований, в </w:t>
            </w:r>
            <w:proofErr w:type="spellStart"/>
            <w:r w:rsidRPr="00D24E7B">
              <w:rPr>
                <w:sz w:val="18"/>
                <w:szCs w:val="18"/>
              </w:rPr>
              <w:t>т.ч</w:t>
            </w:r>
            <w:proofErr w:type="spellEnd"/>
            <w:r w:rsidRPr="00D24E7B">
              <w:rPr>
                <w:sz w:val="18"/>
                <w:szCs w:val="18"/>
              </w:rPr>
              <w:t>. принятых на инкассо;</w:t>
            </w:r>
            <w:r w:rsidRPr="00D24E7B">
              <w:rPr>
                <w:sz w:val="18"/>
                <w:szCs w:val="18"/>
              </w:rPr>
              <w:br/>
              <w:t xml:space="preserve">об ограничениях/отмене ограничений по счетам органами взыскания; </w:t>
            </w:r>
            <w:r w:rsidRPr="00D24E7B">
              <w:rPr>
                <w:sz w:val="18"/>
                <w:szCs w:val="18"/>
              </w:rPr>
              <w:br/>
              <w:t>о поступивших/отозванных распоряжениях ИМНС;</w:t>
            </w:r>
            <w:r w:rsidRPr="00D24E7B">
              <w:rPr>
                <w:sz w:val="18"/>
                <w:szCs w:val="18"/>
              </w:rPr>
              <w:br/>
              <w:t>об открытых (действующих) депозитах;</w:t>
            </w:r>
            <w:r w:rsidRPr="00D24E7B">
              <w:rPr>
                <w:sz w:val="18"/>
                <w:szCs w:val="18"/>
              </w:rPr>
              <w:br/>
              <w:t>о платежах, принятых в пользу клиента за товары, работы (услуги);</w:t>
            </w:r>
            <w:proofErr w:type="gramEnd"/>
            <w:r w:rsidRPr="00D24E7B">
              <w:rPr>
                <w:sz w:val="18"/>
                <w:szCs w:val="18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Без ограничения количества запросов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2.4.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 xml:space="preserve">Подключение клиента к системе «Мобильный клиент»  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2.5.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3.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3.1.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0324F" w:rsidRPr="00D24E7B" w:rsidTr="002D6DD4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3.2.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D24E7B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D24E7B">
              <w:rPr>
                <w:b/>
                <w:bCs/>
                <w:sz w:val="18"/>
                <w:szCs w:val="18"/>
              </w:rPr>
              <w:t>В Пакет операций включено обслуживание 2 карточек (</w:t>
            </w:r>
            <w:proofErr w:type="spellStart"/>
            <w:r w:rsidRPr="00D24E7B">
              <w:rPr>
                <w:b/>
                <w:bCs/>
                <w:sz w:val="18"/>
                <w:szCs w:val="18"/>
              </w:rPr>
              <w:t>Master</w:t>
            </w:r>
            <w:proofErr w:type="spellEnd"/>
            <w:r w:rsidRPr="00D24E7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4E7B">
              <w:rPr>
                <w:b/>
                <w:bCs/>
                <w:sz w:val="18"/>
                <w:szCs w:val="18"/>
              </w:rPr>
              <w:t>Card</w:t>
            </w:r>
            <w:proofErr w:type="spellEnd"/>
            <w:r w:rsidRPr="00D24E7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4E7B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D24E7B">
              <w:rPr>
                <w:b/>
                <w:bCs/>
                <w:sz w:val="18"/>
                <w:szCs w:val="18"/>
              </w:rPr>
              <w:t xml:space="preserve"> и/или </w:t>
            </w:r>
            <w:proofErr w:type="spellStart"/>
            <w:r w:rsidRPr="00D24E7B">
              <w:rPr>
                <w:b/>
                <w:bCs/>
                <w:sz w:val="18"/>
                <w:szCs w:val="18"/>
              </w:rPr>
              <w:t>Visa</w:t>
            </w:r>
            <w:proofErr w:type="spellEnd"/>
            <w:r w:rsidRPr="00D24E7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4E7B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D24E7B">
              <w:rPr>
                <w:b/>
                <w:bCs/>
                <w:sz w:val="18"/>
                <w:szCs w:val="18"/>
              </w:rPr>
              <w:t>) единожды</w:t>
            </w:r>
          </w:p>
        </w:tc>
      </w:tr>
      <w:tr w:rsidR="0080324F" w:rsidRPr="00D24E7B" w:rsidTr="002D6DD4">
        <w:trPr>
          <w:trHeight w:val="30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D24E7B" w:rsidRDefault="0080324F" w:rsidP="002D6DD4">
            <w:pPr>
              <w:jc w:val="both"/>
              <w:rPr>
                <w:sz w:val="18"/>
                <w:szCs w:val="18"/>
              </w:rPr>
            </w:pPr>
            <w:r w:rsidRPr="00D24E7B">
              <w:rPr>
                <w:sz w:val="18"/>
                <w:szCs w:val="18"/>
              </w:rPr>
              <w:t>Примечание: *C 01.02.2017 подключение к настоящему Пакету операций не производится.</w:t>
            </w:r>
          </w:p>
        </w:tc>
      </w:tr>
    </w:tbl>
    <w:p w:rsidR="0080324F" w:rsidRDefault="0080324F" w:rsidP="0080324F">
      <w:pPr>
        <w:ind w:left="1069"/>
        <w:jc w:val="right"/>
        <w:rPr>
          <w:sz w:val="28"/>
          <w:szCs w:val="28"/>
          <w:lang w:val="en-US"/>
        </w:rPr>
      </w:pPr>
      <w:r w:rsidRPr="00834EE5">
        <w:rPr>
          <w:sz w:val="28"/>
          <w:szCs w:val="28"/>
        </w:rPr>
        <w:t>»;</w:t>
      </w:r>
    </w:p>
    <w:p w:rsidR="0080324F" w:rsidRDefault="0080324F" w:rsidP="0080324F">
      <w:pPr>
        <w:numPr>
          <w:ilvl w:val="1"/>
          <w:numId w:val="1"/>
        </w:numPr>
        <w:tabs>
          <w:tab w:val="left" w:pos="0"/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E1B17">
        <w:rPr>
          <w:sz w:val="28"/>
          <w:szCs w:val="28"/>
        </w:rPr>
        <w:t>разделе 5.2. «Общие положения и порядок применения пакетов операций «Вместе к успеху» по обслуживанию юридических лиц и индивидуальных предпринимателей»</w:t>
      </w:r>
      <w:r>
        <w:rPr>
          <w:sz w:val="28"/>
          <w:szCs w:val="28"/>
        </w:rPr>
        <w:t xml:space="preserve"> изложить в следующей редакции:</w:t>
      </w:r>
    </w:p>
    <w:p w:rsidR="006A63D6" w:rsidRDefault="006A63D6" w:rsidP="006A63D6">
      <w:pPr>
        <w:tabs>
          <w:tab w:val="left" w:pos="0"/>
          <w:tab w:val="left" w:pos="851"/>
        </w:tabs>
        <w:ind w:left="709"/>
        <w:contextualSpacing/>
        <w:jc w:val="both"/>
        <w:rPr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14616"/>
      </w:tblGrid>
      <w:tr w:rsidR="0080324F" w:rsidRPr="00CC6A23" w:rsidTr="002D6DD4">
        <w:trPr>
          <w:trHeight w:val="1322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24F" w:rsidRPr="00CC6A23" w:rsidRDefault="0080324F" w:rsidP="002D6DD4">
            <w:pPr>
              <w:jc w:val="both"/>
              <w:rPr>
                <w:color w:val="000000"/>
                <w:sz w:val="24"/>
                <w:szCs w:val="24"/>
              </w:rPr>
            </w:pPr>
            <w:r w:rsidRPr="00CC6A23">
              <w:rPr>
                <w:sz w:val="28"/>
                <w:szCs w:val="28"/>
              </w:rPr>
              <w:t>«</w:t>
            </w:r>
            <w:r w:rsidRPr="00CC6A23">
              <w:rPr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CC6A23">
              <w:rPr>
                <w:color w:val="000000"/>
                <w:sz w:val="24"/>
                <w:szCs w:val="24"/>
              </w:rPr>
              <w:t>Общие положения и порядок применения Пакетов операций «ВМЕСТЕ К УСПЕХУ» по обслуживанию юридических лиц и индивидуальных  предпринимателей определяют порядок применения Пакетов операций, являющихся неотъемлемой частью Сборника вознаграждений  (далее – Пакеты операций), и оплаты вознаграждений за пакетное обслуживание, распространяют свое действие на Пакеты операций «Предприниматель», «Предприниматель плюс», «Старт», «Развитие», «</w:t>
            </w:r>
            <w:proofErr w:type="spellStart"/>
            <w:r w:rsidRPr="00CC6A23">
              <w:rPr>
                <w:color w:val="000000"/>
                <w:sz w:val="24"/>
                <w:szCs w:val="24"/>
              </w:rPr>
              <w:t>Оптима</w:t>
            </w:r>
            <w:proofErr w:type="spellEnd"/>
            <w:r w:rsidRPr="00CC6A23">
              <w:rPr>
                <w:color w:val="000000"/>
                <w:sz w:val="24"/>
                <w:szCs w:val="24"/>
              </w:rPr>
              <w:t>», «Лидер», «Профи», «Представительство», «Приоритет», «Престиж», «Элит», «Партнер».</w:t>
            </w:r>
            <w:proofErr w:type="gramEnd"/>
          </w:p>
        </w:tc>
      </w:tr>
      <w:tr w:rsidR="0080324F" w:rsidRPr="00CC6A23" w:rsidTr="002D6DD4">
        <w:trPr>
          <w:trHeight w:val="505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24F" w:rsidRPr="00CC6A23" w:rsidRDefault="0080324F" w:rsidP="002D6DD4">
            <w:pPr>
              <w:jc w:val="both"/>
              <w:rPr>
                <w:color w:val="000000"/>
                <w:sz w:val="24"/>
                <w:szCs w:val="24"/>
              </w:rPr>
            </w:pPr>
            <w:r w:rsidRPr="00CC6A23">
              <w:rPr>
                <w:color w:val="000000"/>
                <w:sz w:val="24"/>
                <w:szCs w:val="24"/>
              </w:rPr>
              <w:t>2. Обслуживание с использованием Пакетов операций «Предприниматель», «Предприниматель плюс» возможно только для индивидуальных предпринимателей, адвокатов.</w:t>
            </w:r>
          </w:p>
        </w:tc>
      </w:tr>
      <w:tr w:rsidR="0080324F" w:rsidRPr="00CC6A23" w:rsidTr="002D6DD4">
        <w:trPr>
          <w:trHeight w:val="527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24F" w:rsidRPr="00CC6A23" w:rsidRDefault="0080324F" w:rsidP="002D6DD4">
            <w:pPr>
              <w:jc w:val="both"/>
              <w:rPr>
                <w:color w:val="000000"/>
                <w:sz w:val="24"/>
                <w:szCs w:val="24"/>
              </w:rPr>
            </w:pPr>
            <w:r w:rsidRPr="00CC6A23"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CC6A23">
              <w:rPr>
                <w:color w:val="000000"/>
                <w:sz w:val="24"/>
                <w:szCs w:val="24"/>
              </w:rPr>
              <w:t>Обслуживание с использованием Пакетов операций «Старт», «Развитие», «</w:t>
            </w:r>
            <w:proofErr w:type="spellStart"/>
            <w:r w:rsidRPr="00CC6A23">
              <w:rPr>
                <w:color w:val="000000"/>
                <w:sz w:val="24"/>
                <w:szCs w:val="24"/>
              </w:rPr>
              <w:t>Оптима</w:t>
            </w:r>
            <w:proofErr w:type="spellEnd"/>
            <w:r w:rsidRPr="00CC6A23">
              <w:rPr>
                <w:color w:val="000000"/>
                <w:sz w:val="24"/>
                <w:szCs w:val="24"/>
              </w:rPr>
              <w:t>», «Лидер», «Профи», «Представительство», «Приоритет», «Престиж», «Элит» возможно только для юридических лиц.</w:t>
            </w:r>
            <w:proofErr w:type="gramEnd"/>
          </w:p>
        </w:tc>
      </w:tr>
      <w:tr w:rsidR="0080324F" w:rsidRPr="00CC6A23" w:rsidTr="002D6DD4">
        <w:trPr>
          <w:trHeight w:val="535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24F" w:rsidRPr="00CC6A23" w:rsidRDefault="0080324F" w:rsidP="002D6DD4">
            <w:pPr>
              <w:rPr>
                <w:color w:val="000000"/>
                <w:sz w:val="24"/>
                <w:szCs w:val="24"/>
              </w:rPr>
            </w:pPr>
            <w:r w:rsidRPr="00CC6A23">
              <w:rPr>
                <w:color w:val="000000"/>
                <w:sz w:val="24"/>
                <w:szCs w:val="24"/>
              </w:rPr>
              <w:lastRenderedPageBreak/>
              <w:t xml:space="preserve">     Обслуживание с использованием Пакета операций «Партнер» возможно  для юридических лиц, индивидуальных предпринимателей, адвокатов.</w:t>
            </w:r>
          </w:p>
        </w:tc>
      </w:tr>
      <w:tr w:rsidR="0080324F" w:rsidRPr="00CC6A23" w:rsidTr="002D6DD4">
        <w:trPr>
          <w:trHeight w:val="26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24F" w:rsidRPr="006A63D6" w:rsidRDefault="0080324F" w:rsidP="006A63D6">
            <w:pPr>
              <w:pStyle w:val="a8"/>
              <w:numPr>
                <w:ilvl w:val="0"/>
                <w:numId w:val="4"/>
              </w:numPr>
              <w:ind w:hanging="671"/>
              <w:jc w:val="both"/>
              <w:rPr>
                <w:color w:val="000000"/>
                <w:sz w:val="24"/>
                <w:szCs w:val="24"/>
              </w:rPr>
            </w:pPr>
            <w:r w:rsidRPr="006A63D6">
              <w:rPr>
                <w:color w:val="000000"/>
                <w:sz w:val="24"/>
                <w:szCs w:val="24"/>
              </w:rPr>
              <w:t xml:space="preserve">Для Пакетов операций «ВМЕСТЕ К УСПЕХУ» применимы следующие правила: </w:t>
            </w:r>
          </w:p>
          <w:p w:rsidR="006A63D6" w:rsidRPr="006A63D6" w:rsidRDefault="006A63D6" w:rsidP="006A63D6">
            <w:pPr>
              <w:pStyle w:val="a8"/>
              <w:ind w:left="106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0324F" w:rsidRPr="00CC6A23" w:rsidTr="002D6DD4">
        <w:trPr>
          <w:trHeight w:val="419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24F" w:rsidRDefault="0080324F" w:rsidP="002D6DD4">
            <w:pPr>
              <w:jc w:val="both"/>
              <w:rPr>
                <w:color w:val="000000"/>
                <w:sz w:val="24"/>
                <w:szCs w:val="24"/>
              </w:rPr>
            </w:pPr>
            <w:r w:rsidRPr="00CC6A23">
              <w:rPr>
                <w:color w:val="000000"/>
                <w:sz w:val="24"/>
                <w:szCs w:val="24"/>
              </w:rPr>
              <w:t>3.1. Обслуживание клиентов по Пакетам операций «ВМЕСТЕ К УСПЕХУ» производится Банком в рамках действующего Сборника вознаграждений.</w:t>
            </w:r>
          </w:p>
          <w:p w:rsidR="006A63D6" w:rsidRPr="00CC6A23" w:rsidRDefault="006A63D6" w:rsidP="002D6DD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0324F" w:rsidRPr="00CC6A23" w:rsidTr="002D6DD4">
        <w:trPr>
          <w:trHeight w:val="71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24F" w:rsidRPr="00CC6A23" w:rsidRDefault="0080324F" w:rsidP="002D6DD4">
            <w:pPr>
              <w:jc w:val="both"/>
              <w:rPr>
                <w:color w:val="000000"/>
                <w:sz w:val="24"/>
                <w:szCs w:val="24"/>
              </w:rPr>
            </w:pPr>
            <w:r w:rsidRPr="00CC6A23">
              <w:rPr>
                <w:color w:val="000000"/>
                <w:sz w:val="24"/>
                <w:szCs w:val="24"/>
              </w:rPr>
              <w:t>3.2. Выбор клиентом Пакета операций (подключение к Пакету операций) при открытии банковского счета осуществляется на основании заявления на открытие банковского счета по форме, приведенной в приложении 2 к Условиям открытия и обслуживания банковских счетов юридических лиц и индивидуальных предпринимателей от 19.05.2014 № 01-07/149 (далее – Условия).</w:t>
            </w:r>
          </w:p>
        </w:tc>
      </w:tr>
      <w:tr w:rsidR="0080324F" w:rsidRPr="00CC6A23" w:rsidTr="002D6DD4">
        <w:trPr>
          <w:trHeight w:val="594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24F" w:rsidRPr="00CC6A23" w:rsidRDefault="0080324F" w:rsidP="002D6DD4">
            <w:pPr>
              <w:jc w:val="both"/>
              <w:rPr>
                <w:color w:val="000000"/>
                <w:sz w:val="24"/>
                <w:szCs w:val="24"/>
              </w:rPr>
            </w:pPr>
            <w:r w:rsidRPr="00CC6A23">
              <w:rPr>
                <w:color w:val="000000"/>
                <w:sz w:val="24"/>
                <w:szCs w:val="24"/>
              </w:rPr>
              <w:t xml:space="preserve">      Выбор Пакета операций (смена Пакета операций, подключение к Пакету операций) после открытия банковского счета осуществляется на основании извещения о смене (подключении) пакета операций по форме, приведенной в приложении 5 к Условиям.</w:t>
            </w:r>
          </w:p>
        </w:tc>
      </w:tr>
      <w:tr w:rsidR="0080324F" w:rsidRPr="00CC6A23" w:rsidTr="002D6DD4">
        <w:trPr>
          <w:trHeight w:val="675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D11" w:rsidRDefault="00312D11" w:rsidP="002D6DD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0324F" w:rsidRPr="00CC6A23" w:rsidRDefault="0080324F" w:rsidP="002D6DD4">
            <w:pPr>
              <w:jc w:val="both"/>
              <w:rPr>
                <w:color w:val="000000"/>
                <w:sz w:val="24"/>
                <w:szCs w:val="24"/>
              </w:rPr>
            </w:pPr>
            <w:r w:rsidRPr="00CC6A23">
              <w:rPr>
                <w:color w:val="000000"/>
                <w:sz w:val="24"/>
                <w:szCs w:val="24"/>
              </w:rPr>
              <w:t>3.3. По желанию клиента действие Пакета операций «ВМЕСТЕ К УСПЕХУ» может быть распространено на два и более банковских счета, открытых клиентом в Банке.</w:t>
            </w:r>
          </w:p>
        </w:tc>
      </w:tr>
      <w:tr w:rsidR="0080324F" w:rsidRPr="00CC6A23" w:rsidTr="002D6DD4">
        <w:trPr>
          <w:trHeight w:val="33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D11" w:rsidRDefault="00312D11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80324F" w:rsidRPr="00312D11" w:rsidRDefault="0080324F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3.4. Перевод клиента на обслуживание по иному пакету операций с большей стоимостью производится без взимания дополнительной платы. Перевод клиента на обслуживание по иному пакету операций с меньшей стоимостью производится с уплатой вознаграждения в размере, установленном действующим Сборником вознаграждений.</w:t>
            </w:r>
          </w:p>
          <w:p w:rsidR="0080324F" w:rsidRPr="00312D11" w:rsidRDefault="0080324F" w:rsidP="002D6DD4">
            <w:pPr>
              <w:tabs>
                <w:tab w:val="left" w:pos="0"/>
                <w:tab w:val="left" w:pos="851"/>
              </w:tabs>
              <w:ind w:firstLine="333"/>
              <w:contextualSpacing/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 xml:space="preserve">Перевод клиента на обслуживание с одного Пакета операций на другой осуществляется Банком с первого числа месяца, следующего за месяцем, в котором предоставлено в Банк извещение о смене (подключении) Пакета операций (если иное не оговорено в особенностях применения конкретного Пакета операций). </w:t>
            </w:r>
          </w:p>
          <w:p w:rsidR="0080324F" w:rsidRPr="00312D11" w:rsidRDefault="0080324F" w:rsidP="002D6DD4">
            <w:pPr>
              <w:ind w:firstLine="333"/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 xml:space="preserve">Услуги, включенные в Пакет операций однократно и ранее предоставленные клиенту в соответствии с Пакетом операций, при переходе на обслуживание по иному Пакету операций повторно не предоставляются, вознаграждение за указанные услуги уплачивается в размерах, установленных действующим Сборником вознаграждений. </w:t>
            </w:r>
          </w:p>
          <w:p w:rsidR="0080324F" w:rsidRPr="00CC6A23" w:rsidRDefault="0080324F" w:rsidP="002D6DD4">
            <w:pPr>
              <w:jc w:val="both"/>
              <w:rPr>
                <w:strike/>
                <w:color w:val="FF0000"/>
                <w:sz w:val="24"/>
                <w:szCs w:val="24"/>
              </w:rPr>
            </w:pPr>
          </w:p>
        </w:tc>
      </w:tr>
      <w:tr w:rsidR="0080324F" w:rsidRPr="00CC6A23" w:rsidTr="00312D11">
        <w:trPr>
          <w:trHeight w:val="737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24F" w:rsidRPr="00312D11" w:rsidRDefault="0080324F" w:rsidP="002D6DD4">
            <w:pPr>
              <w:jc w:val="both"/>
              <w:rPr>
                <w:strike/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3.5. Предоставление дополнительных услуг, включенных в Пакеты операций, осуществляется при условии заключения с клиентом соответствующего договора.</w:t>
            </w:r>
          </w:p>
        </w:tc>
      </w:tr>
      <w:tr w:rsidR="0080324F" w:rsidRPr="00CC6A23" w:rsidTr="002D6DD4">
        <w:trPr>
          <w:trHeight w:val="1005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24F" w:rsidRDefault="0080324F" w:rsidP="002D6DD4">
            <w:pPr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При переходе на обслуживание по иному Пакету операций, в состав которого предоставляемая дополнительная услуга не включена, либо при отключении от Пакета операций, договор, в соответствии с которым дополнительная услуга предоставлялась, подлежит расторжению в установленном договором порядке.</w:t>
            </w:r>
          </w:p>
          <w:p w:rsidR="00312D11" w:rsidRPr="00312D11" w:rsidRDefault="00312D11" w:rsidP="002D6DD4">
            <w:pPr>
              <w:jc w:val="both"/>
              <w:rPr>
                <w:sz w:val="24"/>
                <w:szCs w:val="24"/>
              </w:rPr>
            </w:pPr>
          </w:p>
          <w:p w:rsidR="0080324F" w:rsidRDefault="0080324F" w:rsidP="002D6DD4">
            <w:pPr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3.6. Банк не осуществляет подключение к Пакету операций (в том числе перевод с одного Пакета операций на другой), если у клиента на момент предоставления заявления имеется задолженность (просроченная задолженность) перед Банком за услуги по расчетно-кассовому обслуживанию или прочие виды услуг.</w:t>
            </w:r>
          </w:p>
          <w:p w:rsidR="00312D11" w:rsidRPr="00312D11" w:rsidRDefault="00312D11" w:rsidP="002D6DD4">
            <w:pPr>
              <w:jc w:val="both"/>
              <w:rPr>
                <w:sz w:val="24"/>
                <w:szCs w:val="24"/>
              </w:rPr>
            </w:pPr>
          </w:p>
          <w:p w:rsidR="0080324F" w:rsidRPr="00312D11" w:rsidRDefault="0080324F" w:rsidP="002D6DD4">
            <w:pPr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3.7. Вознаграждение Банку в первый календарный месяц обслуживания по Пакету операций «ВМЕСТЕ К УСПЕХУ» уплачивается из расчета количества календарных дней за период со дня подключения к Пакету операций по последний календарный день текущего месяца включительно, в день его подключения к Пакету операций, но не позднее последнего рабочего дня месяца  включительно.</w:t>
            </w:r>
          </w:p>
          <w:p w:rsidR="00312D11" w:rsidRDefault="00312D11" w:rsidP="002D6DD4">
            <w:pPr>
              <w:jc w:val="both"/>
              <w:rPr>
                <w:sz w:val="24"/>
                <w:szCs w:val="24"/>
              </w:rPr>
            </w:pPr>
          </w:p>
          <w:p w:rsidR="0080324F" w:rsidRDefault="0080324F" w:rsidP="002D6DD4">
            <w:pPr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3.8.  Оплата клиентами вознаграждения Банку за банковские операции по Пакетам операций «ВМЕСТЕ К УСПЕХУ», в последующих месяцах производится на условиях предоплаты в период c первого рабочего по последний рабочий день (включительно) месяца, предшествующего месяцу обслуживания по пакету.</w:t>
            </w:r>
          </w:p>
          <w:p w:rsidR="00010890" w:rsidRPr="00312D11" w:rsidRDefault="00010890" w:rsidP="002D6DD4">
            <w:pPr>
              <w:jc w:val="both"/>
              <w:rPr>
                <w:sz w:val="24"/>
                <w:szCs w:val="24"/>
              </w:rPr>
            </w:pPr>
          </w:p>
        </w:tc>
      </w:tr>
      <w:tr w:rsidR="0080324F" w:rsidRPr="00CC6A23" w:rsidTr="002D6DD4">
        <w:trPr>
          <w:trHeight w:val="129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24F" w:rsidRDefault="0080324F" w:rsidP="002D6DD4">
            <w:pPr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lastRenderedPageBreak/>
              <w:t xml:space="preserve">3.9. Отключение клиента от Пакета операций с последующим переводом на обслуживание по действующему Сборнику вознаграждений осуществляется только </w:t>
            </w:r>
            <w:proofErr w:type="gramStart"/>
            <w:r w:rsidRPr="00312D11">
              <w:rPr>
                <w:sz w:val="24"/>
                <w:szCs w:val="24"/>
              </w:rPr>
              <w:t>в случае получения Банком из официальных источников информации о возбуждении в отношении клиента производства по делу</w:t>
            </w:r>
            <w:proofErr w:type="gramEnd"/>
            <w:r w:rsidRPr="00312D11">
              <w:rPr>
                <w:sz w:val="24"/>
                <w:szCs w:val="24"/>
              </w:rPr>
              <w:t xml:space="preserve"> об экономической несостоятельности (банкротстве) или о нахождении клиента в стадии ликвидации (прекращения деятельности) и является обязательным.</w:t>
            </w:r>
          </w:p>
          <w:p w:rsidR="00312D11" w:rsidRPr="00312D11" w:rsidRDefault="00312D11" w:rsidP="002D6DD4">
            <w:pPr>
              <w:jc w:val="both"/>
              <w:rPr>
                <w:sz w:val="24"/>
                <w:szCs w:val="24"/>
              </w:rPr>
            </w:pPr>
          </w:p>
          <w:p w:rsidR="0080324F" w:rsidRPr="00312D11" w:rsidRDefault="0080324F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 xml:space="preserve">3.10.  </w:t>
            </w:r>
            <w:proofErr w:type="gramStart"/>
            <w:r w:rsidRPr="00312D11">
              <w:rPr>
                <w:sz w:val="24"/>
                <w:szCs w:val="24"/>
              </w:rPr>
              <w:t>В случае переоформления банковского счета в связи с возбуждением в отношении клиента производства по делу об экономической несостоятельности (банкротстве) или с нахождением клиента в стадии ликвидации (прекращения деятельности), а также закрытия клиентом банковского счета в Банке (прекращения обслуживания) вознаграждение Банку по Пакету операций уплачивается из расчета количества календарных дней за период с первого числа текущего месяца по день переоформления банковского</w:t>
            </w:r>
            <w:proofErr w:type="gramEnd"/>
            <w:r w:rsidRPr="00312D11">
              <w:rPr>
                <w:sz w:val="24"/>
                <w:szCs w:val="24"/>
              </w:rPr>
              <w:t xml:space="preserve"> счета или по день закрытия банковского счета.</w:t>
            </w:r>
          </w:p>
          <w:p w:rsidR="0080324F" w:rsidRPr="00312D11" w:rsidRDefault="00010890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 w:rsidR="0080324F" w:rsidRPr="00312D11">
              <w:rPr>
                <w:sz w:val="24"/>
                <w:szCs w:val="24"/>
              </w:rPr>
              <w:t>В случае получения Банком из официальных источников информации о возбуждении в отношении клиента производства по делу об экономической несостоятельности (банкротстве) или о нахождении клиента в стадии ликвидации (прекращения деятельности) Банк со дня получения информации отключает клиента от Пакета операций и не принимает к исполнению расчетные документы на проведение расходных операций по счету.</w:t>
            </w:r>
            <w:proofErr w:type="gramEnd"/>
          </w:p>
          <w:p w:rsidR="0080324F" w:rsidRDefault="0080324F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Вознаграждение Банку по Пакету операций уплачивается из расчета количества календарных дней за период с первого числа текущего месяца по день получения Банком информации</w:t>
            </w:r>
            <w:r w:rsidRPr="002D1D39">
              <w:rPr>
                <w:color w:val="FF0000"/>
                <w:sz w:val="24"/>
                <w:szCs w:val="24"/>
              </w:rPr>
              <w:t>.</w:t>
            </w:r>
          </w:p>
          <w:p w:rsidR="00312D11" w:rsidRDefault="00312D11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color w:val="FF0000"/>
                <w:sz w:val="24"/>
                <w:szCs w:val="24"/>
              </w:rPr>
            </w:pPr>
          </w:p>
          <w:p w:rsidR="0080324F" w:rsidRDefault="0080324F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 xml:space="preserve">3.11.   </w:t>
            </w:r>
            <w:proofErr w:type="gramStart"/>
            <w:r w:rsidRPr="00312D11">
              <w:rPr>
                <w:sz w:val="24"/>
                <w:szCs w:val="24"/>
              </w:rPr>
              <w:t>Банк вправе приостановить  оказание услуг и начисление ежемесячной платы по Пакету операций,  отказать клиенту в совершении расходных операций по соответствующему договору банковского счета (за исключением платежей, проводимых вне очереди, в первоочередном порядке и по исполнительным документам судов в соответствии с законодательством Республики Беларусь, а также платежей в пользу Банка)  в следующих случаях:</w:t>
            </w:r>
            <w:proofErr w:type="gramEnd"/>
          </w:p>
          <w:p w:rsidR="00312D11" w:rsidRPr="00312D11" w:rsidRDefault="00312D11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80324F" w:rsidRDefault="0080324F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3.11.1. Отсутствие платы по Пакету операций до конца текущего месяца и образования задолженности за пакетное обслуживание в месяце подключения к Пакету услуг – с первого числа месяца следующего за месяцем подключения до  момента оплаты вознаграждения и/или до полного погашения клиентом образовавшейся задолженности перед Банком;</w:t>
            </w:r>
          </w:p>
          <w:p w:rsidR="00312D11" w:rsidRPr="00312D11" w:rsidRDefault="00312D11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80324F" w:rsidRPr="00312D11" w:rsidRDefault="0080324F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 xml:space="preserve">3.11.2.  Отсутствие предоплаты по Пакету операций  в период c первого рабочего по последний рабочий день (включительно) месяца, </w:t>
            </w:r>
            <w:r w:rsidRPr="00312D11">
              <w:rPr>
                <w:sz w:val="24"/>
                <w:szCs w:val="24"/>
              </w:rPr>
              <w:lastRenderedPageBreak/>
              <w:t>предшествующего месяцу обслуживания по пакету- с первого числа месяца, за который оплата не получена до  момента оплаты вознаграждения и/или до полного погашения клиентом образовавшейся задолженности перед Банком;</w:t>
            </w:r>
          </w:p>
          <w:p w:rsidR="0080324F" w:rsidRDefault="0080324F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Для возобновления обслуживания клиента по Пакету операций в текущем месяце вознаграждение Банку уплачивается в полном размере, независимо от количества дней получения клиентом услуги.</w:t>
            </w:r>
          </w:p>
          <w:p w:rsidR="00312D11" w:rsidRPr="00312D11" w:rsidRDefault="00312D11" w:rsidP="002D6DD4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80324F" w:rsidRPr="00312D11" w:rsidRDefault="0080324F" w:rsidP="002D6DD4">
            <w:pPr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 xml:space="preserve">3.12. </w:t>
            </w:r>
            <w:proofErr w:type="gramStart"/>
            <w:r w:rsidRPr="00312D11">
              <w:rPr>
                <w:sz w:val="24"/>
                <w:szCs w:val="24"/>
              </w:rPr>
              <w:t>Банк оставляет за собой право в одностороннем порядке (если иное не предусмотрено соглашением между Банком и клиентом), после предварительного уведомления клиента в срок, указанный в договоре банковского счета, вносить изменения в действующие Пакеты операций «ВМЕСТЕ К УСПЕХУ» (наименование Пакета операций, условия обслуживания, сроки действия, размеры вознаграждений, изменять перечень операций, включенных в Пакеты операций).</w:t>
            </w:r>
            <w:proofErr w:type="gramEnd"/>
          </w:p>
          <w:p w:rsidR="0080324F" w:rsidRDefault="0080324F" w:rsidP="002D6DD4">
            <w:pPr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При изменении размера  ежемесячной платы за пакеты операций, ежемесячное вознаграждение, полученное от клиентов до внесения изменений, пересчету не подлежит.</w:t>
            </w:r>
          </w:p>
          <w:p w:rsidR="00312D11" w:rsidRPr="00312D11" w:rsidRDefault="00312D11" w:rsidP="002D6DD4">
            <w:pPr>
              <w:jc w:val="both"/>
              <w:rPr>
                <w:sz w:val="24"/>
                <w:szCs w:val="24"/>
              </w:rPr>
            </w:pPr>
          </w:p>
          <w:p w:rsidR="0080324F" w:rsidRDefault="0080324F" w:rsidP="002D6DD4">
            <w:pPr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3.13. Оплата вознаграждения Банку за банковские операции, которые предполагают единовременную оплату, производится ежедневно по мере совершения операций.</w:t>
            </w:r>
          </w:p>
          <w:p w:rsidR="00010890" w:rsidRPr="00312D11" w:rsidRDefault="00010890" w:rsidP="002D6DD4">
            <w:pPr>
              <w:jc w:val="both"/>
              <w:rPr>
                <w:sz w:val="24"/>
                <w:szCs w:val="24"/>
              </w:rPr>
            </w:pPr>
          </w:p>
          <w:p w:rsidR="0080324F" w:rsidRDefault="0080324F" w:rsidP="002D6DD4">
            <w:pPr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3.14. Вознаграждение за совершение операций сверх количества, включенного в Пакет операций, уплачивается в размерах, установленных действующим Сборником вознаграждений, если иное не предусмотрено Пакетом операций.</w:t>
            </w:r>
          </w:p>
          <w:p w:rsidR="00010890" w:rsidRPr="00312D11" w:rsidRDefault="00010890" w:rsidP="002D6DD4">
            <w:pPr>
              <w:jc w:val="both"/>
              <w:rPr>
                <w:sz w:val="24"/>
                <w:szCs w:val="24"/>
              </w:rPr>
            </w:pPr>
          </w:p>
          <w:p w:rsidR="0080324F" w:rsidRDefault="0080324F" w:rsidP="002D6DD4">
            <w:pPr>
              <w:jc w:val="both"/>
              <w:rPr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3.15. При совершении банковских операций, не включенных в Пакеты операций, вознаграждение уплачивается в соответствии с действующим Сборником вознаграждений.</w:t>
            </w:r>
          </w:p>
          <w:p w:rsidR="00010890" w:rsidRPr="00312D11" w:rsidRDefault="00010890" w:rsidP="002D6DD4">
            <w:pPr>
              <w:jc w:val="both"/>
              <w:rPr>
                <w:sz w:val="24"/>
                <w:szCs w:val="24"/>
              </w:rPr>
            </w:pPr>
          </w:p>
          <w:p w:rsidR="0080324F" w:rsidRDefault="0080324F" w:rsidP="002D6DD4">
            <w:pPr>
              <w:jc w:val="both"/>
              <w:rPr>
                <w:color w:val="000000"/>
                <w:sz w:val="24"/>
                <w:szCs w:val="24"/>
              </w:rPr>
            </w:pPr>
            <w:r w:rsidRPr="00312D11">
              <w:rPr>
                <w:sz w:val="24"/>
                <w:szCs w:val="24"/>
              </w:rPr>
              <w:t>3.16</w:t>
            </w:r>
            <w:r w:rsidRPr="00CC6A23">
              <w:rPr>
                <w:color w:val="FF0000"/>
                <w:sz w:val="24"/>
                <w:szCs w:val="24"/>
              </w:rPr>
              <w:t xml:space="preserve">. </w:t>
            </w:r>
            <w:r w:rsidRPr="00CC6A23">
              <w:rPr>
                <w:color w:val="000000"/>
                <w:sz w:val="24"/>
                <w:szCs w:val="24"/>
              </w:rPr>
              <w:t>Пакеты операций применяются с учетом настоящих общих положений и особенностей, предусмотренных в примечаниях к Пакетам операций.</w:t>
            </w:r>
          </w:p>
          <w:p w:rsidR="00312D11" w:rsidRPr="00CC6A23" w:rsidRDefault="00312D11" w:rsidP="002D6DD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0324F" w:rsidRDefault="0080324F" w:rsidP="006A63D6">
      <w:pPr>
        <w:numPr>
          <w:ilvl w:val="1"/>
          <w:numId w:val="4"/>
        </w:numPr>
        <w:tabs>
          <w:tab w:val="left" w:pos="0"/>
          <w:tab w:val="left" w:pos="851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подпункт 1.1 п</w:t>
      </w:r>
      <w:r w:rsidRPr="00C10909">
        <w:rPr>
          <w:sz w:val="28"/>
          <w:szCs w:val="28"/>
        </w:rPr>
        <w:t>ункт</w:t>
      </w:r>
      <w:r>
        <w:rPr>
          <w:sz w:val="28"/>
          <w:szCs w:val="28"/>
        </w:rPr>
        <w:t xml:space="preserve">а 5.2.1 </w:t>
      </w:r>
      <w:r w:rsidRPr="00C10909">
        <w:rPr>
          <w:sz w:val="28"/>
          <w:szCs w:val="28"/>
        </w:rPr>
        <w:t>Пакет</w:t>
      </w:r>
      <w:r>
        <w:rPr>
          <w:sz w:val="28"/>
          <w:szCs w:val="28"/>
        </w:rPr>
        <w:t>а</w:t>
      </w:r>
      <w:r w:rsidRPr="00C10909">
        <w:rPr>
          <w:sz w:val="28"/>
          <w:szCs w:val="28"/>
        </w:rPr>
        <w:t xml:space="preserve"> операций по обслуживани</w:t>
      </w:r>
      <w:r w:rsidR="004B0DCE">
        <w:rPr>
          <w:sz w:val="28"/>
          <w:szCs w:val="28"/>
        </w:rPr>
        <w:t>ю</w:t>
      </w:r>
      <w:r w:rsidRPr="00C10909">
        <w:rPr>
          <w:sz w:val="28"/>
          <w:szCs w:val="28"/>
        </w:rPr>
        <w:t xml:space="preserve"> индивидуальных предпринимателей «Предприниматель» </w:t>
      </w:r>
      <w:r w:rsidRPr="00187789">
        <w:rPr>
          <w:sz w:val="28"/>
          <w:szCs w:val="28"/>
        </w:rPr>
        <w:t>изложить в следующей редакции:</w:t>
      </w:r>
    </w:p>
    <w:p w:rsidR="0080324F" w:rsidRDefault="0080324F" w:rsidP="0080324F">
      <w:pPr>
        <w:tabs>
          <w:tab w:val="left" w:pos="0"/>
          <w:tab w:val="left" w:pos="851"/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60"/>
        <w:gridCol w:w="8520"/>
        <w:gridCol w:w="5194"/>
      </w:tblGrid>
      <w:tr w:rsidR="00312D11" w:rsidRPr="00312D11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24"/>
                <w:szCs w:val="24"/>
              </w:rPr>
            </w:pPr>
            <w:r w:rsidRPr="00187789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24"/>
                <w:szCs w:val="24"/>
              </w:rPr>
            </w:pPr>
            <w:r w:rsidRPr="00187789">
              <w:rPr>
                <w:color w:val="000000"/>
                <w:sz w:val="24"/>
                <w:szCs w:val="24"/>
              </w:rPr>
              <w:t>Открытие текущего (расчетного) банковского счета/ субсчета/ специального счета в белорусских рублях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312D11" w:rsidRDefault="0080324F" w:rsidP="002D6DD4">
            <w:pPr>
              <w:jc w:val="center"/>
              <w:rPr>
                <w:b/>
                <w:bCs/>
                <w:sz w:val="24"/>
                <w:szCs w:val="24"/>
              </w:rPr>
            </w:pPr>
            <w:r w:rsidRPr="00312D11">
              <w:rPr>
                <w:b/>
                <w:bCs/>
                <w:sz w:val="24"/>
                <w:szCs w:val="24"/>
              </w:rPr>
              <w:t>Без ограничения количества счетов</w:t>
            </w:r>
          </w:p>
        </w:tc>
      </w:tr>
    </w:tbl>
    <w:p w:rsidR="0080324F" w:rsidRDefault="0080324F" w:rsidP="0080324F">
      <w:pPr>
        <w:ind w:left="1069"/>
        <w:jc w:val="right"/>
        <w:rPr>
          <w:sz w:val="28"/>
          <w:szCs w:val="28"/>
          <w:lang w:val="en-US"/>
        </w:rPr>
      </w:pPr>
      <w:r w:rsidRPr="00834EE5">
        <w:rPr>
          <w:sz w:val="28"/>
          <w:szCs w:val="28"/>
        </w:rPr>
        <w:t>»;</w:t>
      </w:r>
    </w:p>
    <w:p w:rsidR="0080324F" w:rsidRDefault="0080324F" w:rsidP="006A63D6">
      <w:pPr>
        <w:numPr>
          <w:ilvl w:val="1"/>
          <w:numId w:val="4"/>
        </w:numPr>
        <w:tabs>
          <w:tab w:val="left" w:pos="0"/>
          <w:tab w:val="left" w:pos="851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10909">
        <w:rPr>
          <w:sz w:val="28"/>
          <w:szCs w:val="28"/>
        </w:rPr>
        <w:t>ункт</w:t>
      </w:r>
      <w:r>
        <w:rPr>
          <w:sz w:val="28"/>
          <w:szCs w:val="28"/>
        </w:rPr>
        <w:t xml:space="preserve"> 5.2.2 </w:t>
      </w:r>
      <w:r w:rsidRPr="00C10909">
        <w:rPr>
          <w:sz w:val="28"/>
          <w:szCs w:val="28"/>
        </w:rPr>
        <w:t>Пакет</w:t>
      </w:r>
      <w:r>
        <w:rPr>
          <w:sz w:val="28"/>
          <w:szCs w:val="28"/>
        </w:rPr>
        <w:t>а</w:t>
      </w:r>
      <w:r w:rsidRPr="00C10909">
        <w:rPr>
          <w:sz w:val="28"/>
          <w:szCs w:val="28"/>
        </w:rPr>
        <w:t xml:space="preserve"> операций по обслуживани</w:t>
      </w:r>
      <w:r w:rsidR="004B0DCE">
        <w:rPr>
          <w:sz w:val="28"/>
          <w:szCs w:val="28"/>
        </w:rPr>
        <w:t>ю</w:t>
      </w:r>
      <w:r w:rsidRPr="00C10909">
        <w:rPr>
          <w:sz w:val="28"/>
          <w:szCs w:val="28"/>
        </w:rPr>
        <w:t xml:space="preserve"> индивидуальных предпринимателей «Предприниматель</w:t>
      </w:r>
      <w:r>
        <w:rPr>
          <w:sz w:val="28"/>
          <w:szCs w:val="28"/>
        </w:rPr>
        <w:t xml:space="preserve"> плюс</w:t>
      </w:r>
      <w:r w:rsidRPr="00C10909">
        <w:rPr>
          <w:sz w:val="28"/>
          <w:szCs w:val="28"/>
        </w:rPr>
        <w:t xml:space="preserve">» </w:t>
      </w:r>
      <w:r w:rsidRPr="00187789">
        <w:rPr>
          <w:sz w:val="28"/>
          <w:szCs w:val="28"/>
        </w:rPr>
        <w:t>изложить в следующей редакции:</w:t>
      </w:r>
    </w:p>
    <w:p w:rsidR="0080324F" w:rsidRPr="00187789" w:rsidRDefault="0080324F" w:rsidP="0080324F">
      <w:pPr>
        <w:tabs>
          <w:tab w:val="left" w:pos="0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187789">
        <w:rPr>
          <w:sz w:val="28"/>
          <w:szCs w:val="28"/>
        </w:rPr>
        <w:t>«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60"/>
        <w:gridCol w:w="8520"/>
        <w:gridCol w:w="5194"/>
      </w:tblGrid>
      <w:tr w:rsidR="0080324F" w:rsidRPr="00187789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18778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187789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Наименование операции, включенной в Пакет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Основной размер вознаграждения</w:t>
            </w:r>
          </w:p>
        </w:tc>
      </w:tr>
      <w:tr w:rsidR="0080324F" w:rsidRPr="00187789" w:rsidTr="002D6DD4">
        <w:trPr>
          <w:trHeight w:val="300"/>
        </w:trPr>
        <w:tc>
          <w:tcPr>
            <w:tcW w:w="1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80324F" w:rsidRPr="00187789" w:rsidRDefault="0080324F" w:rsidP="002D6DD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lastRenderedPageBreak/>
              <w:t>5.2.2. ПАКЕТ операций по обслуживанию индивидуальных предпринимателей «Предприниматель плюс»</w:t>
            </w:r>
          </w:p>
        </w:tc>
      </w:tr>
      <w:tr w:rsidR="0080324F" w:rsidRPr="00187789" w:rsidTr="002D6DD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t>ЕЖЕМЕСЯЧНАЯ ПЛАТА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312D11" w:rsidRDefault="0080324F" w:rsidP="002D6D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2D11">
              <w:rPr>
                <w:b/>
                <w:bCs/>
                <w:sz w:val="24"/>
                <w:szCs w:val="24"/>
              </w:rPr>
              <w:t>28.00 BYN</w:t>
            </w:r>
          </w:p>
        </w:tc>
      </w:tr>
      <w:tr w:rsidR="0080324F" w:rsidRPr="00187789" w:rsidTr="002D6DD4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ОТКРЫТИЕ И ОБСЛУЖИВАНИЕ (ВЕДЕНИЕ) СЧЕТОВ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187789" w:rsidRDefault="0080324F" w:rsidP="002D6D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7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24F" w:rsidRPr="00187789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Открытие текущего (расчетного) банковского счета/ субсчета/ специального счета в белорусских рублях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2D11">
              <w:rPr>
                <w:b/>
                <w:bCs/>
                <w:sz w:val="18"/>
                <w:szCs w:val="18"/>
              </w:rPr>
              <w:t>Без ограничения количества счетов</w:t>
            </w:r>
          </w:p>
        </w:tc>
      </w:tr>
      <w:tr w:rsidR="0080324F" w:rsidRPr="00187789" w:rsidTr="002D6DD4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t>Без ограничения количества подписей</w:t>
            </w:r>
          </w:p>
        </w:tc>
      </w:tr>
      <w:tr w:rsidR="0080324F" w:rsidRPr="00187789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187789" w:rsidRDefault="0080324F" w:rsidP="002D6D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7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24F" w:rsidRPr="00187789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 xml:space="preserve">Ведение картотеки к </w:t>
            </w:r>
            <w:proofErr w:type="spellStart"/>
            <w:r w:rsidRPr="00187789">
              <w:rPr>
                <w:color w:val="000000"/>
                <w:sz w:val="18"/>
                <w:szCs w:val="18"/>
              </w:rPr>
              <w:t>внебалансовому</w:t>
            </w:r>
            <w:proofErr w:type="spellEnd"/>
            <w:r w:rsidRPr="00187789">
              <w:rPr>
                <w:color w:val="000000"/>
                <w:sz w:val="18"/>
                <w:szCs w:val="18"/>
              </w:rPr>
              <w:t xml:space="preserve"> счету «Расчетные документы, не оплаченные в срок»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187789" w:rsidRDefault="0080324F" w:rsidP="002D6D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7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24F" w:rsidRPr="00187789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324F" w:rsidRPr="00312D11" w:rsidRDefault="0080324F" w:rsidP="002D6DD4">
            <w:pPr>
              <w:rPr>
                <w:sz w:val="18"/>
                <w:szCs w:val="18"/>
              </w:rPr>
            </w:pPr>
            <w:r w:rsidRPr="00312D11">
              <w:rPr>
                <w:sz w:val="18"/>
                <w:szCs w:val="18"/>
              </w:rPr>
              <w:t>1.5.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4F" w:rsidRPr="00312D11" w:rsidRDefault="0080324F" w:rsidP="002D6DD4">
            <w:pPr>
              <w:rPr>
                <w:sz w:val="18"/>
                <w:szCs w:val="18"/>
              </w:rPr>
            </w:pPr>
            <w:r w:rsidRPr="00312D11">
              <w:rPr>
                <w:sz w:val="18"/>
                <w:szCs w:val="18"/>
              </w:rPr>
              <w:t>Выдача справки (информации) по письменному заявлению клиента, в т. ч. по кредитным операциям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24F" w:rsidRPr="00312D11" w:rsidRDefault="0080324F" w:rsidP="002D6D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324F" w:rsidRPr="00187789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324F" w:rsidRPr="00312D11" w:rsidRDefault="0080324F" w:rsidP="002D6DD4">
            <w:pPr>
              <w:rPr>
                <w:sz w:val="18"/>
                <w:szCs w:val="18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4F" w:rsidRPr="00312D11" w:rsidRDefault="0080324F" w:rsidP="002D6DD4">
            <w:pPr>
              <w:rPr>
                <w:sz w:val="18"/>
                <w:szCs w:val="18"/>
              </w:rPr>
            </w:pPr>
            <w:r w:rsidRPr="00312D11">
              <w:rPr>
                <w:sz w:val="18"/>
                <w:szCs w:val="18"/>
              </w:rPr>
              <w:t>на русском языке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24F" w:rsidRPr="00312D11" w:rsidRDefault="0080324F" w:rsidP="002D6DD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2D11">
              <w:rPr>
                <w:b/>
                <w:sz w:val="18"/>
                <w:szCs w:val="18"/>
              </w:rPr>
              <w:t>В Пакет операций включена выдача 1 документа в месяц</w:t>
            </w:r>
          </w:p>
        </w:tc>
      </w:tr>
      <w:tr w:rsidR="0080324F" w:rsidRPr="00187789" w:rsidTr="002D6DD4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312D11" w:rsidRDefault="0080324F" w:rsidP="002D6DD4">
            <w:pPr>
              <w:rPr>
                <w:sz w:val="18"/>
                <w:szCs w:val="18"/>
              </w:rPr>
            </w:pPr>
            <w:r w:rsidRPr="00312D11">
              <w:rPr>
                <w:sz w:val="18"/>
                <w:szCs w:val="18"/>
              </w:rPr>
              <w:t>1.6.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312D11" w:rsidRDefault="0080324F" w:rsidP="002D6DD4">
            <w:pPr>
              <w:rPr>
                <w:sz w:val="18"/>
                <w:szCs w:val="18"/>
              </w:rPr>
            </w:pPr>
            <w:r w:rsidRPr="00312D11">
              <w:rPr>
                <w:sz w:val="18"/>
                <w:szCs w:val="18"/>
              </w:rPr>
              <w:t xml:space="preserve">Исполнение переводов в системе BISS: </w:t>
            </w:r>
            <w:r w:rsidRPr="00312D11">
              <w:rPr>
                <w:sz w:val="18"/>
                <w:szCs w:val="18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312D11" w:rsidRDefault="0080324F" w:rsidP="002D6DD4">
            <w:pPr>
              <w:jc w:val="both"/>
              <w:rPr>
                <w:sz w:val="18"/>
                <w:szCs w:val="18"/>
              </w:rPr>
            </w:pPr>
            <w:r w:rsidRPr="00312D11">
              <w:rPr>
                <w:sz w:val="18"/>
                <w:szCs w:val="18"/>
              </w:rPr>
              <w:t> </w:t>
            </w:r>
          </w:p>
        </w:tc>
      </w:tr>
      <w:tr w:rsidR="0080324F" w:rsidRPr="00187789" w:rsidTr="002D6DD4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312D11" w:rsidRDefault="0080324F" w:rsidP="002D6DD4">
            <w:pPr>
              <w:rPr>
                <w:sz w:val="18"/>
                <w:szCs w:val="18"/>
              </w:rPr>
            </w:pPr>
            <w:r w:rsidRPr="00312D11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312D11" w:rsidRDefault="0080324F" w:rsidP="002D6DD4">
            <w:pPr>
              <w:rPr>
                <w:sz w:val="18"/>
                <w:szCs w:val="18"/>
              </w:rPr>
            </w:pPr>
            <w:r w:rsidRPr="00312D11">
              <w:rPr>
                <w:sz w:val="18"/>
                <w:szCs w:val="18"/>
              </w:rPr>
              <w:t xml:space="preserve">    включено в Пакет операций;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312D11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312D11">
              <w:rPr>
                <w:b/>
                <w:bCs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80324F" w:rsidRPr="00187789" w:rsidTr="002D6DD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312D11" w:rsidRDefault="0080324F" w:rsidP="002D6DD4">
            <w:pPr>
              <w:rPr>
                <w:sz w:val="18"/>
                <w:szCs w:val="18"/>
              </w:rPr>
            </w:pPr>
            <w:r w:rsidRPr="00312D11">
              <w:rPr>
                <w:sz w:val="18"/>
                <w:szCs w:val="18"/>
              </w:rPr>
              <w:t>1.7.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312D11" w:rsidRDefault="0080324F" w:rsidP="002D6DD4">
            <w:pPr>
              <w:rPr>
                <w:sz w:val="18"/>
                <w:szCs w:val="18"/>
              </w:rPr>
            </w:pPr>
            <w:r w:rsidRPr="00312D11">
              <w:rPr>
                <w:sz w:val="18"/>
                <w:szCs w:val="18"/>
              </w:rPr>
              <w:t>Исполнение переводов в расчетной системе Банка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312D11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312D11">
              <w:rPr>
                <w:b/>
                <w:bCs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80324F" w:rsidRPr="00187789" w:rsidTr="002D6DD4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312D11" w:rsidRDefault="0080324F" w:rsidP="002D6DD4">
            <w:pPr>
              <w:rPr>
                <w:sz w:val="18"/>
                <w:szCs w:val="18"/>
              </w:rPr>
            </w:pPr>
            <w:r w:rsidRPr="00312D11">
              <w:rPr>
                <w:sz w:val="18"/>
                <w:szCs w:val="18"/>
              </w:rPr>
              <w:t>1.8.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312D11" w:rsidRDefault="0080324F" w:rsidP="002D6DD4">
            <w:pPr>
              <w:rPr>
                <w:sz w:val="18"/>
                <w:szCs w:val="18"/>
              </w:rPr>
            </w:pPr>
            <w:r w:rsidRPr="00312D11">
              <w:rPr>
                <w:sz w:val="18"/>
                <w:szCs w:val="18"/>
              </w:rPr>
              <w:t>Прием наличных денежных сре</w:t>
            </w:r>
            <w:proofErr w:type="gramStart"/>
            <w:r w:rsidRPr="00312D11">
              <w:rPr>
                <w:sz w:val="18"/>
                <w:szCs w:val="18"/>
              </w:rPr>
              <w:t>дств в б</w:t>
            </w:r>
            <w:proofErr w:type="gramEnd"/>
            <w:r w:rsidRPr="00312D11">
              <w:rPr>
                <w:sz w:val="18"/>
                <w:szCs w:val="18"/>
              </w:rPr>
              <w:t>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312D11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312D11">
              <w:rPr>
                <w:b/>
                <w:bCs/>
                <w:sz w:val="18"/>
                <w:szCs w:val="18"/>
              </w:rPr>
              <w:t xml:space="preserve">0.05% от суммы, </w:t>
            </w:r>
            <w:r w:rsidRPr="00312D11">
              <w:rPr>
                <w:b/>
                <w:bCs/>
                <w:sz w:val="18"/>
                <w:szCs w:val="18"/>
              </w:rPr>
              <w:br/>
              <w:t>минимум 2.00 BYN (по одному документу)</w:t>
            </w:r>
          </w:p>
        </w:tc>
      </w:tr>
      <w:tr w:rsidR="0080324F" w:rsidRPr="00187789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ДИСТАНЦИОННОЕ БАНКОВСКОЕ ОБСЛУЖИВАНИЕ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jc w:val="both"/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324F" w:rsidRPr="00187789" w:rsidTr="002D6DD4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Подключение клиента к подсистеме «Интернет-клиент» системы ДБО «BS-</w:t>
            </w:r>
            <w:proofErr w:type="spellStart"/>
            <w:r w:rsidRPr="00187789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18778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187789" w:rsidTr="001563B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187789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187789">
              <w:rPr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187789" w:rsidTr="001563B2">
        <w:trPr>
          <w:trHeight w:val="2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proofErr w:type="gramStart"/>
            <w:r w:rsidRPr="00187789">
              <w:rPr>
                <w:color w:val="000000"/>
                <w:sz w:val="18"/>
                <w:szCs w:val="18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187789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187789">
              <w:rPr>
                <w:color w:val="000000"/>
                <w:sz w:val="18"/>
                <w:szCs w:val="18"/>
              </w:rPr>
              <w:t>» по запросу клиента:</w:t>
            </w:r>
            <w:r w:rsidRPr="00187789">
              <w:rPr>
                <w:color w:val="000000"/>
                <w:sz w:val="18"/>
                <w:szCs w:val="18"/>
              </w:rPr>
              <w:br/>
              <w:t xml:space="preserve">о состоянии картотеки; </w:t>
            </w:r>
            <w:r w:rsidRPr="00187789">
              <w:rPr>
                <w:color w:val="000000"/>
                <w:sz w:val="18"/>
                <w:szCs w:val="18"/>
              </w:rPr>
              <w:br/>
              <w:t xml:space="preserve">о забронированных денежных средствах; </w:t>
            </w:r>
            <w:r w:rsidRPr="00187789">
              <w:rPr>
                <w:color w:val="000000"/>
                <w:sz w:val="18"/>
                <w:szCs w:val="18"/>
              </w:rPr>
              <w:br/>
              <w:t xml:space="preserve">об исполнении платежных требований, в </w:t>
            </w:r>
            <w:proofErr w:type="spellStart"/>
            <w:r w:rsidRPr="00187789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187789">
              <w:rPr>
                <w:color w:val="000000"/>
                <w:sz w:val="18"/>
                <w:szCs w:val="18"/>
              </w:rPr>
              <w:t>. принятых на инкассо;</w:t>
            </w:r>
            <w:r w:rsidRPr="00187789">
              <w:rPr>
                <w:color w:val="000000"/>
                <w:sz w:val="18"/>
                <w:szCs w:val="18"/>
              </w:rPr>
              <w:br/>
              <w:t xml:space="preserve">об ограничениях/отмене ограничений по счетам органами взыскания; </w:t>
            </w:r>
            <w:r w:rsidRPr="00187789">
              <w:rPr>
                <w:color w:val="000000"/>
                <w:sz w:val="18"/>
                <w:szCs w:val="18"/>
              </w:rPr>
              <w:br/>
              <w:t>о поступивших/отозванных распоряжениях ИМНС;</w:t>
            </w:r>
            <w:r w:rsidRPr="00187789">
              <w:rPr>
                <w:color w:val="000000"/>
                <w:sz w:val="18"/>
                <w:szCs w:val="18"/>
              </w:rPr>
              <w:br/>
              <w:t>об открытых (действующих) депозитах;</w:t>
            </w:r>
            <w:r w:rsidRPr="00187789">
              <w:rPr>
                <w:color w:val="000000"/>
                <w:sz w:val="18"/>
                <w:szCs w:val="18"/>
              </w:rPr>
              <w:br/>
              <w:t>о платежах, принятых в пользу клиента за товары, работы (услуги);</w:t>
            </w:r>
            <w:proofErr w:type="gramEnd"/>
            <w:r w:rsidRPr="00187789">
              <w:rPr>
                <w:color w:val="000000"/>
                <w:sz w:val="18"/>
                <w:szCs w:val="18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t>Без ограничения количества запросов</w:t>
            </w:r>
          </w:p>
        </w:tc>
      </w:tr>
      <w:tr w:rsidR="0080324F" w:rsidRPr="00187789" w:rsidTr="001563B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 xml:space="preserve">Подключение клиента к системе «Мобильный клиент»  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187789" w:rsidTr="001563B2">
        <w:trPr>
          <w:trHeight w:val="3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2.5.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187789" w:rsidTr="002D6DD4">
        <w:trPr>
          <w:trHeight w:val="2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187789" w:rsidTr="002D6DD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187789" w:rsidTr="002D6DD4">
        <w:trPr>
          <w:trHeight w:val="4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t xml:space="preserve">В Пакет операций включено обслуживание </w:t>
            </w:r>
            <w:r w:rsidRPr="00187789">
              <w:rPr>
                <w:b/>
                <w:bCs/>
                <w:color w:val="000000"/>
                <w:sz w:val="18"/>
                <w:szCs w:val="18"/>
              </w:rPr>
              <w:br/>
              <w:t>1 карточки (</w:t>
            </w:r>
            <w:proofErr w:type="spellStart"/>
            <w:r w:rsidRPr="00187789">
              <w:rPr>
                <w:b/>
                <w:bCs/>
                <w:color w:val="000000"/>
                <w:sz w:val="18"/>
                <w:szCs w:val="18"/>
              </w:rPr>
              <w:t>Master</w:t>
            </w:r>
            <w:proofErr w:type="spellEnd"/>
            <w:r w:rsidRPr="0018778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7789">
              <w:rPr>
                <w:b/>
                <w:bCs/>
                <w:color w:val="000000"/>
                <w:sz w:val="18"/>
                <w:szCs w:val="18"/>
              </w:rPr>
              <w:t>Card</w:t>
            </w:r>
            <w:proofErr w:type="spellEnd"/>
            <w:r w:rsidRPr="0018778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7789">
              <w:rPr>
                <w:b/>
                <w:bCs/>
                <w:color w:val="000000"/>
                <w:sz w:val="18"/>
                <w:szCs w:val="18"/>
              </w:rPr>
              <w:t>Business</w:t>
            </w:r>
            <w:proofErr w:type="spellEnd"/>
            <w:r w:rsidRPr="00187789">
              <w:rPr>
                <w:b/>
                <w:bCs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187789">
              <w:rPr>
                <w:b/>
                <w:bCs/>
                <w:color w:val="000000"/>
                <w:sz w:val="18"/>
                <w:szCs w:val="18"/>
              </w:rPr>
              <w:t>Visa</w:t>
            </w:r>
            <w:proofErr w:type="spellEnd"/>
            <w:r w:rsidRPr="0018778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7789">
              <w:rPr>
                <w:b/>
                <w:bCs/>
                <w:color w:val="000000"/>
                <w:sz w:val="18"/>
                <w:szCs w:val="18"/>
              </w:rPr>
              <w:t>Business</w:t>
            </w:r>
            <w:proofErr w:type="spellEnd"/>
            <w:r w:rsidRPr="00187789">
              <w:rPr>
                <w:b/>
                <w:bCs/>
                <w:color w:val="000000"/>
                <w:sz w:val="18"/>
                <w:szCs w:val="18"/>
              </w:rPr>
              <w:t>) единожды</w:t>
            </w:r>
          </w:p>
        </w:tc>
      </w:tr>
      <w:tr w:rsidR="0080324F" w:rsidRPr="00187789" w:rsidTr="002D6DD4">
        <w:trPr>
          <w:trHeight w:val="12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ДОПОЛНИТЕЛЬНЫЕ УСЛУГИ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187789" w:rsidTr="002D6DD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18"/>
                <w:szCs w:val="18"/>
              </w:rPr>
            </w:pPr>
            <w:r w:rsidRPr="00187789">
              <w:rPr>
                <w:color w:val="000000"/>
                <w:sz w:val="18"/>
                <w:szCs w:val="18"/>
              </w:rPr>
              <w:t>Зачисление заработной платы и иных приравненных к ней платежей (в том числе вытекающих из гражданско-правовых отношений) на счета физических лиц от юридических лиц (индивидуального предпринимателя) по платежным документам и спискам, поступившим в форме электронных документов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7789">
              <w:rPr>
                <w:b/>
                <w:bCs/>
                <w:color w:val="000000"/>
                <w:sz w:val="18"/>
                <w:szCs w:val="18"/>
              </w:rPr>
              <w:t>Без ограничения при подключении к зарплатной программе "Вместе к успеху"</w:t>
            </w:r>
          </w:p>
        </w:tc>
      </w:tr>
    </w:tbl>
    <w:p w:rsidR="0080324F" w:rsidRDefault="0080324F" w:rsidP="0080324F">
      <w:pPr>
        <w:ind w:left="1069"/>
        <w:jc w:val="right"/>
        <w:rPr>
          <w:sz w:val="28"/>
          <w:szCs w:val="28"/>
          <w:lang w:val="en-US"/>
        </w:rPr>
      </w:pPr>
      <w:r w:rsidRPr="00834EE5">
        <w:rPr>
          <w:sz w:val="28"/>
          <w:szCs w:val="28"/>
        </w:rPr>
        <w:t>»;</w:t>
      </w:r>
    </w:p>
    <w:p w:rsidR="0080324F" w:rsidRDefault="0080324F" w:rsidP="006A63D6">
      <w:pPr>
        <w:numPr>
          <w:ilvl w:val="1"/>
          <w:numId w:val="4"/>
        </w:numPr>
        <w:tabs>
          <w:tab w:val="left" w:pos="0"/>
          <w:tab w:val="left" w:pos="851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10909">
        <w:rPr>
          <w:sz w:val="28"/>
          <w:szCs w:val="28"/>
        </w:rPr>
        <w:t>ункт</w:t>
      </w:r>
      <w:r>
        <w:rPr>
          <w:sz w:val="28"/>
          <w:szCs w:val="28"/>
        </w:rPr>
        <w:t xml:space="preserve"> 5.2.3 </w:t>
      </w:r>
      <w:r w:rsidRPr="00C10909">
        <w:rPr>
          <w:sz w:val="28"/>
          <w:szCs w:val="28"/>
        </w:rPr>
        <w:t>Пакет</w:t>
      </w:r>
      <w:r>
        <w:rPr>
          <w:sz w:val="28"/>
          <w:szCs w:val="28"/>
        </w:rPr>
        <w:t>а</w:t>
      </w:r>
      <w:r w:rsidRPr="00C10909">
        <w:rPr>
          <w:sz w:val="28"/>
          <w:szCs w:val="28"/>
        </w:rPr>
        <w:t xml:space="preserve"> операций по обслуживани</w:t>
      </w:r>
      <w:r w:rsidR="004B0DCE">
        <w:rPr>
          <w:sz w:val="28"/>
          <w:szCs w:val="28"/>
        </w:rPr>
        <w:t>ю</w:t>
      </w:r>
      <w:r w:rsidRPr="00C10909">
        <w:rPr>
          <w:sz w:val="28"/>
          <w:szCs w:val="28"/>
        </w:rPr>
        <w:t xml:space="preserve"> </w:t>
      </w:r>
      <w:r w:rsidR="004B0DCE" w:rsidRPr="004B0DCE">
        <w:rPr>
          <w:bCs/>
          <w:sz w:val="28"/>
          <w:szCs w:val="28"/>
        </w:rPr>
        <w:t>юридических лиц</w:t>
      </w:r>
      <w:r w:rsidR="004B0DCE" w:rsidRPr="004B0DCE">
        <w:rPr>
          <w:b/>
          <w:bCs/>
          <w:sz w:val="28"/>
          <w:szCs w:val="28"/>
        </w:rPr>
        <w:t xml:space="preserve"> </w:t>
      </w:r>
      <w:r w:rsidRPr="00C10909">
        <w:rPr>
          <w:sz w:val="28"/>
          <w:szCs w:val="28"/>
        </w:rPr>
        <w:t>«</w:t>
      </w:r>
      <w:r>
        <w:rPr>
          <w:sz w:val="28"/>
          <w:szCs w:val="28"/>
        </w:rPr>
        <w:t>Старт</w:t>
      </w:r>
      <w:r w:rsidRPr="00C10909">
        <w:rPr>
          <w:sz w:val="28"/>
          <w:szCs w:val="28"/>
        </w:rPr>
        <w:t xml:space="preserve">» </w:t>
      </w:r>
      <w:r w:rsidRPr="00187789">
        <w:rPr>
          <w:sz w:val="28"/>
          <w:szCs w:val="28"/>
        </w:rPr>
        <w:t>изложить в следующей редакции:</w:t>
      </w:r>
    </w:p>
    <w:p w:rsidR="0080324F" w:rsidRPr="00187789" w:rsidRDefault="0080324F" w:rsidP="0080324F">
      <w:pPr>
        <w:tabs>
          <w:tab w:val="left" w:pos="0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187789">
        <w:rPr>
          <w:sz w:val="28"/>
          <w:szCs w:val="28"/>
        </w:rPr>
        <w:t>«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60"/>
        <w:gridCol w:w="8520"/>
        <w:gridCol w:w="5194"/>
      </w:tblGrid>
      <w:tr w:rsidR="0080324F" w:rsidRPr="00922E20" w:rsidTr="002D6DD4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22E20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922E20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Наименование операции, включенной в Пакет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Основной размер вознаграждения</w:t>
            </w:r>
          </w:p>
        </w:tc>
      </w:tr>
      <w:tr w:rsidR="0080324F" w:rsidRPr="00922E20" w:rsidTr="002D6DD4">
        <w:trPr>
          <w:trHeight w:val="300"/>
        </w:trPr>
        <w:tc>
          <w:tcPr>
            <w:tcW w:w="1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80324F" w:rsidRPr="00922E20" w:rsidRDefault="0080324F" w:rsidP="002D6DD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5.2.3. ПАКЕТ операций по обслуживанию юридических лиц «Старт»</w:t>
            </w:r>
          </w:p>
        </w:tc>
      </w:tr>
      <w:tr w:rsidR="0080324F" w:rsidRPr="00922E20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ЕЖЕМЕСЯЧНАЯ ПЛАТА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166972" w:rsidRDefault="0080324F" w:rsidP="002D6DD4">
            <w:pPr>
              <w:jc w:val="center"/>
              <w:rPr>
                <w:b/>
                <w:bCs/>
                <w:sz w:val="24"/>
                <w:szCs w:val="24"/>
              </w:rPr>
            </w:pPr>
            <w:r w:rsidRPr="00166972">
              <w:rPr>
                <w:b/>
                <w:bCs/>
                <w:sz w:val="24"/>
                <w:szCs w:val="24"/>
              </w:rPr>
              <w:t>19.00 BYN</w:t>
            </w:r>
          </w:p>
        </w:tc>
      </w:tr>
      <w:tr w:rsidR="0080324F" w:rsidRPr="00922E20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ОТКРЫТИЕ И ОБСЛУЖИВАНИЕ (ВЕДЕНИЕ) СЧЕТОВ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166972" w:rsidRDefault="0080324F" w:rsidP="002D6D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6972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80324F" w:rsidRPr="00922E20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 xml:space="preserve">Открытие текущего (расчетного) банковского счета/ субсчета/ специального счета в белорусских рублях  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166972" w:rsidRDefault="0080324F" w:rsidP="002D6DD4">
            <w:pPr>
              <w:jc w:val="center"/>
              <w:rPr>
                <w:b/>
                <w:bCs/>
                <w:sz w:val="18"/>
                <w:szCs w:val="18"/>
              </w:rPr>
            </w:pPr>
            <w:r w:rsidRPr="00166972">
              <w:rPr>
                <w:b/>
                <w:bCs/>
                <w:sz w:val="18"/>
                <w:szCs w:val="18"/>
              </w:rPr>
              <w:t>Без ограничения количества счетов</w:t>
            </w:r>
          </w:p>
        </w:tc>
      </w:tr>
      <w:tr w:rsidR="0080324F" w:rsidRPr="00922E20" w:rsidTr="002D6DD4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Без ограничения количества подписей</w:t>
            </w:r>
          </w:p>
        </w:tc>
      </w:tr>
      <w:tr w:rsidR="0080324F" w:rsidRPr="00922E20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922E20" w:rsidRDefault="0080324F" w:rsidP="002D6D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2E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24F" w:rsidRPr="00922E20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 xml:space="preserve">Ведение картотеки к </w:t>
            </w:r>
            <w:proofErr w:type="spellStart"/>
            <w:r w:rsidRPr="00922E20">
              <w:rPr>
                <w:color w:val="000000"/>
                <w:sz w:val="18"/>
                <w:szCs w:val="18"/>
              </w:rPr>
              <w:t>внебалансовому</w:t>
            </w:r>
            <w:proofErr w:type="spellEnd"/>
            <w:r w:rsidRPr="00922E20">
              <w:rPr>
                <w:color w:val="000000"/>
                <w:sz w:val="18"/>
                <w:szCs w:val="18"/>
              </w:rPr>
              <w:t xml:space="preserve"> счету «Расчетные документы, не оплаченные в срок»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922E20" w:rsidRDefault="0080324F" w:rsidP="002D6D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2E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24F" w:rsidRPr="00922E20" w:rsidTr="002D6DD4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 xml:space="preserve">Исполнение переводов в системе BISS: </w:t>
            </w:r>
            <w:r w:rsidRPr="00922E20">
              <w:rPr>
                <w:color w:val="000000"/>
                <w:sz w:val="18"/>
                <w:szCs w:val="18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922E20" w:rsidRDefault="0080324F" w:rsidP="002D6DD4">
            <w:pPr>
              <w:jc w:val="both"/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324F" w:rsidRPr="00922E20" w:rsidTr="002D6DD4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 xml:space="preserve">    включено в Пакет операций;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5 в месяц</w:t>
            </w:r>
          </w:p>
        </w:tc>
      </w:tr>
      <w:tr w:rsidR="0080324F" w:rsidRPr="00922E20" w:rsidTr="002D6DD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 xml:space="preserve">    сверх Пакета операций – за один документ; 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1.00 BYN</w:t>
            </w:r>
          </w:p>
        </w:tc>
      </w:tr>
      <w:tr w:rsidR="0080324F" w:rsidRPr="00922E20" w:rsidTr="002D6DD4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Исполнение переводов в расчетной системе Банка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80324F" w:rsidRPr="00922E20" w:rsidTr="002D6DD4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Прием наличных денежных сре</w:t>
            </w:r>
            <w:proofErr w:type="gramStart"/>
            <w:r w:rsidRPr="00922E20">
              <w:rPr>
                <w:color w:val="000000"/>
                <w:sz w:val="18"/>
                <w:szCs w:val="18"/>
              </w:rPr>
              <w:t>дств в б</w:t>
            </w:r>
            <w:proofErr w:type="gramEnd"/>
            <w:r w:rsidRPr="00922E20">
              <w:rPr>
                <w:color w:val="000000"/>
                <w:sz w:val="18"/>
                <w:szCs w:val="18"/>
              </w:rPr>
              <w:t>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 xml:space="preserve">0.1 % от суммы, </w:t>
            </w:r>
            <w:r w:rsidRPr="00922E20">
              <w:rPr>
                <w:b/>
                <w:bCs/>
                <w:color w:val="000000"/>
                <w:sz w:val="18"/>
                <w:szCs w:val="18"/>
              </w:rPr>
              <w:br/>
              <w:t>минимум 2.00 BYN (по одному документу)</w:t>
            </w:r>
          </w:p>
        </w:tc>
      </w:tr>
      <w:tr w:rsidR="0080324F" w:rsidRPr="00922E20" w:rsidTr="001563B2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Прием и обработка расчетных документов, представленных на инкассо:</w:t>
            </w:r>
            <w:r w:rsidRPr="00922E20">
              <w:rPr>
                <w:color w:val="000000"/>
                <w:sz w:val="18"/>
                <w:szCs w:val="18"/>
              </w:rPr>
              <w:br/>
              <w:t>платежных требований, переданных в электронном виде: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922E20" w:rsidTr="001563B2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за один документ.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1.00 BYN</w:t>
            </w:r>
          </w:p>
        </w:tc>
      </w:tr>
      <w:tr w:rsidR="0080324F" w:rsidRPr="00922E20" w:rsidTr="001563B2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ДИСТАНЦИОННОЕ БАНКОВСКОЕ ОБСЛУЖИВАНИЕ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jc w:val="both"/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324F" w:rsidRPr="00922E20" w:rsidTr="001563B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Подключение клиента к подсистеме «Интернет-клиент» системы ДБО «BS-</w:t>
            </w:r>
            <w:proofErr w:type="spellStart"/>
            <w:r w:rsidRPr="00922E20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922E20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922E20" w:rsidTr="002D6DD4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922E20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922E20">
              <w:rPr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922E20" w:rsidTr="002D6DD4">
        <w:trPr>
          <w:trHeight w:val="2342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proofErr w:type="gramStart"/>
            <w:r w:rsidRPr="00922E20">
              <w:rPr>
                <w:color w:val="000000"/>
                <w:sz w:val="18"/>
                <w:szCs w:val="18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922E20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922E20">
              <w:rPr>
                <w:color w:val="000000"/>
                <w:sz w:val="18"/>
                <w:szCs w:val="18"/>
              </w:rPr>
              <w:t>» по запросу клиента:</w:t>
            </w:r>
            <w:r w:rsidRPr="00922E20">
              <w:rPr>
                <w:color w:val="000000"/>
                <w:sz w:val="18"/>
                <w:szCs w:val="18"/>
              </w:rPr>
              <w:br/>
              <w:t xml:space="preserve">о состоянии картотеки; </w:t>
            </w:r>
            <w:r w:rsidRPr="00922E20">
              <w:rPr>
                <w:color w:val="000000"/>
                <w:sz w:val="18"/>
                <w:szCs w:val="18"/>
              </w:rPr>
              <w:br/>
              <w:t xml:space="preserve">о забронированных денежных средствах; </w:t>
            </w:r>
            <w:r w:rsidRPr="00922E20">
              <w:rPr>
                <w:color w:val="000000"/>
                <w:sz w:val="18"/>
                <w:szCs w:val="18"/>
              </w:rPr>
              <w:br/>
              <w:t xml:space="preserve">об исполнении платежных требований, в </w:t>
            </w:r>
            <w:proofErr w:type="spellStart"/>
            <w:r w:rsidRPr="00922E20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922E20">
              <w:rPr>
                <w:color w:val="000000"/>
                <w:sz w:val="18"/>
                <w:szCs w:val="18"/>
              </w:rPr>
              <w:t>. принятых на инкассо;</w:t>
            </w:r>
            <w:r w:rsidRPr="00922E20">
              <w:rPr>
                <w:color w:val="000000"/>
                <w:sz w:val="18"/>
                <w:szCs w:val="18"/>
              </w:rPr>
              <w:br/>
              <w:t xml:space="preserve">об ограничениях/отмене ограничений по счетам органами взыскания; </w:t>
            </w:r>
            <w:r w:rsidRPr="00922E20">
              <w:rPr>
                <w:color w:val="000000"/>
                <w:sz w:val="18"/>
                <w:szCs w:val="18"/>
              </w:rPr>
              <w:br/>
              <w:t>о поступивших/отозванных распоряжениях ИМНС;</w:t>
            </w:r>
            <w:r w:rsidRPr="00922E20">
              <w:rPr>
                <w:color w:val="000000"/>
                <w:sz w:val="18"/>
                <w:szCs w:val="18"/>
              </w:rPr>
              <w:br/>
              <w:t>об открытых (действующих) депозитах;</w:t>
            </w:r>
            <w:r w:rsidRPr="00922E20">
              <w:rPr>
                <w:color w:val="000000"/>
                <w:sz w:val="18"/>
                <w:szCs w:val="18"/>
              </w:rPr>
              <w:br/>
              <w:t>о платежах, принятых в пользу клиента за товары, работы (услуги);</w:t>
            </w:r>
            <w:proofErr w:type="gramEnd"/>
            <w:r w:rsidRPr="00922E20">
              <w:rPr>
                <w:color w:val="000000"/>
                <w:sz w:val="18"/>
                <w:szCs w:val="18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Без ограничения количества запросов</w:t>
            </w:r>
          </w:p>
        </w:tc>
      </w:tr>
      <w:tr w:rsidR="0080324F" w:rsidRPr="00922E20" w:rsidTr="002D6DD4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 xml:space="preserve">Подключение клиента </w:t>
            </w:r>
            <w:proofErr w:type="gramStart"/>
            <w:r w:rsidRPr="00922E20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922E20">
              <w:rPr>
                <w:color w:val="000000"/>
                <w:sz w:val="18"/>
                <w:szCs w:val="18"/>
              </w:rPr>
              <w:t xml:space="preserve"> АС «</w:t>
            </w:r>
            <w:proofErr w:type="spellStart"/>
            <w:r w:rsidRPr="00922E20">
              <w:rPr>
                <w:color w:val="000000"/>
                <w:sz w:val="18"/>
                <w:szCs w:val="18"/>
              </w:rPr>
              <w:t>SavEx</w:t>
            </w:r>
            <w:proofErr w:type="spellEnd"/>
            <w:r w:rsidRPr="00922E20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922E20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2.5.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 xml:space="preserve">Подключение клиента к системе «Мобильный клиент»  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922E20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2.6.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922E20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922E20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922E20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 xml:space="preserve">В Пакет операций включено обслуживание </w:t>
            </w:r>
            <w:r w:rsidRPr="00922E20">
              <w:rPr>
                <w:b/>
                <w:bCs/>
                <w:color w:val="000000"/>
                <w:sz w:val="18"/>
                <w:szCs w:val="18"/>
              </w:rPr>
              <w:br/>
              <w:t>2 карточек (</w:t>
            </w:r>
            <w:proofErr w:type="spellStart"/>
            <w:r w:rsidRPr="00922E20">
              <w:rPr>
                <w:b/>
                <w:bCs/>
                <w:color w:val="000000"/>
                <w:sz w:val="18"/>
                <w:szCs w:val="18"/>
              </w:rPr>
              <w:t>Master</w:t>
            </w:r>
            <w:proofErr w:type="spellEnd"/>
            <w:r w:rsidRPr="00922E2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2E20">
              <w:rPr>
                <w:b/>
                <w:bCs/>
                <w:color w:val="000000"/>
                <w:sz w:val="18"/>
                <w:szCs w:val="18"/>
              </w:rPr>
              <w:t>Card</w:t>
            </w:r>
            <w:proofErr w:type="spellEnd"/>
            <w:r w:rsidRPr="00922E2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2E20">
              <w:rPr>
                <w:b/>
                <w:bCs/>
                <w:color w:val="000000"/>
                <w:sz w:val="18"/>
                <w:szCs w:val="18"/>
              </w:rPr>
              <w:t>Business</w:t>
            </w:r>
            <w:proofErr w:type="spellEnd"/>
            <w:r w:rsidRPr="00922E20">
              <w:rPr>
                <w:b/>
                <w:bCs/>
                <w:color w:val="000000"/>
                <w:sz w:val="18"/>
                <w:szCs w:val="18"/>
              </w:rPr>
              <w:t xml:space="preserve"> и/или </w:t>
            </w:r>
            <w:proofErr w:type="spellStart"/>
            <w:r w:rsidRPr="00922E20">
              <w:rPr>
                <w:b/>
                <w:bCs/>
                <w:color w:val="000000"/>
                <w:sz w:val="18"/>
                <w:szCs w:val="18"/>
              </w:rPr>
              <w:t>Visa</w:t>
            </w:r>
            <w:proofErr w:type="spellEnd"/>
            <w:r w:rsidRPr="00922E2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2E20">
              <w:rPr>
                <w:b/>
                <w:bCs/>
                <w:color w:val="000000"/>
                <w:sz w:val="18"/>
                <w:szCs w:val="18"/>
              </w:rPr>
              <w:t>Business</w:t>
            </w:r>
            <w:proofErr w:type="spellEnd"/>
            <w:r w:rsidRPr="00922E20">
              <w:rPr>
                <w:b/>
                <w:bCs/>
                <w:color w:val="000000"/>
                <w:sz w:val="18"/>
                <w:szCs w:val="18"/>
              </w:rPr>
              <w:t>) единожды</w:t>
            </w:r>
          </w:p>
        </w:tc>
      </w:tr>
      <w:tr w:rsidR="0080324F" w:rsidRPr="00922E20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ДОПОЛНИТЕЛЬНЫЕ УСЛУГИ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922E20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24F" w:rsidRPr="00922E20" w:rsidRDefault="0080324F" w:rsidP="002D6DD4">
            <w:pPr>
              <w:rPr>
                <w:color w:val="000000"/>
                <w:sz w:val="18"/>
                <w:szCs w:val="18"/>
              </w:rPr>
            </w:pPr>
            <w:r w:rsidRPr="00922E20">
              <w:rPr>
                <w:color w:val="000000"/>
                <w:sz w:val="18"/>
                <w:szCs w:val="18"/>
              </w:rPr>
              <w:t>Зачисление заработной платы и иных приравненных к ней платежей (в том числе вытекающих из гражданско-правовых отношений) на счета физических лиц от юридических лиц (индивидуального предпринимателя) по платежным документам и спискам, поступившим в форме электронных документов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922E20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2E20">
              <w:rPr>
                <w:b/>
                <w:bCs/>
                <w:color w:val="000000"/>
                <w:sz w:val="18"/>
                <w:szCs w:val="18"/>
              </w:rPr>
              <w:t>0,99% от суммы</w:t>
            </w:r>
            <w:r w:rsidRPr="00922E20">
              <w:rPr>
                <w:b/>
                <w:bCs/>
                <w:color w:val="000000"/>
                <w:sz w:val="18"/>
                <w:szCs w:val="18"/>
              </w:rPr>
              <w:br/>
              <w:t xml:space="preserve">при подключении к зарплатной программе </w:t>
            </w:r>
            <w:r w:rsidRPr="00922E20">
              <w:rPr>
                <w:b/>
                <w:bCs/>
                <w:color w:val="000000"/>
                <w:sz w:val="18"/>
                <w:szCs w:val="18"/>
              </w:rPr>
              <w:br/>
              <w:t>"Вместе к успеху"</w:t>
            </w:r>
          </w:p>
        </w:tc>
      </w:tr>
    </w:tbl>
    <w:p w:rsidR="0080324F" w:rsidRDefault="0080324F" w:rsidP="0080324F">
      <w:pPr>
        <w:ind w:left="1069"/>
        <w:jc w:val="right"/>
        <w:rPr>
          <w:sz w:val="28"/>
          <w:szCs w:val="28"/>
          <w:lang w:val="en-US"/>
        </w:rPr>
      </w:pPr>
      <w:r w:rsidRPr="00834EE5">
        <w:rPr>
          <w:sz w:val="28"/>
          <w:szCs w:val="28"/>
        </w:rPr>
        <w:t>»;</w:t>
      </w:r>
    </w:p>
    <w:p w:rsidR="0080324F" w:rsidRDefault="0080324F" w:rsidP="006A63D6">
      <w:pPr>
        <w:numPr>
          <w:ilvl w:val="1"/>
          <w:numId w:val="4"/>
        </w:numPr>
        <w:tabs>
          <w:tab w:val="left" w:pos="0"/>
          <w:tab w:val="left" w:pos="851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C10909">
        <w:rPr>
          <w:sz w:val="28"/>
          <w:szCs w:val="28"/>
        </w:rPr>
        <w:t>ункт</w:t>
      </w:r>
      <w:r>
        <w:rPr>
          <w:sz w:val="28"/>
          <w:szCs w:val="28"/>
        </w:rPr>
        <w:t xml:space="preserve"> 5.2.4 </w:t>
      </w:r>
      <w:r w:rsidRPr="00C10909">
        <w:rPr>
          <w:sz w:val="28"/>
          <w:szCs w:val="28"/>
        </w:rPr>
        <w:t>Пакет</w:t>
      </w:r>
      <w:r>
        <w:rPr>
          <w:sz w:val="28"/>
          <w:szCs w:val="28"/>
        </w:rPr>
        <w:t>а</w:t>
      </w:r>
      <w:r w:rsidRPr="00C10909">
        <w:rPr>
          <w:sz w:val="28"/>
          <w:szCs w:val="28"/>
        </w:rPr>
        <w:t xml:space="preserve"> операций по обслуживани</w:t>
      </w:r>
      <w:r w:rsidR="004B0DCE">
        <w:rPr>
          <w:sz w:val="28"/>
          <w:szCs w:val="28"/>
        </w:rPr>
        <w:t>ю</w:t>
      </w:r>
      <w:r w:rsidRPr="00C10909">
        <w:rPr>
          <w:sz w:val="28"/>
          <w:szCs w:val="28"/>
        </w:rPr>
        <w:t xml:space="preserve"> </w:t>
      </w:r>
      <w:r w:rsidR="004B0DCE" w:rsidRPr="004B0DCE">
        <w:rPr>
          <w:bCs/>
          <w:sz w:val="28"/>
          <w:szCs w:val="28"/>
        </w:rPr>
        <w:t>юридических лиц</w:t>
      </w:r>
      <w:r w:rsidR="004B0DCE" w:rsidRPr="004B0DCE">
        <w:rPr>
          <w:b/>
          <w:bCs/>
          <w:sz w:val="28"/>
          <w:szCs w:val="28"/>
        </w:rPr>
        <w:t xml:space="preserve"> </w:t>
      </w:r>
      <w:r w:rsidRPr="00C10909">
        <w:rPr>
          <w:sz w:val="28"/>
          <w:szCs w:val="28"/>
        </w:rPr>
        <w:t>«</w:t>
      </w:r>
      <w:r>
        <w:rPr>
          <w:sz w:val="28"/>
          <w:szCs w:val="28"/>
        </w:rPr>
        <w:t>Развитие</w:t>
      </w:r>
      <w:r w:rsidRPr="00C10909">
        <w:rPr>
          <w:sz w:val="28"/>
          <w:szCs w:val="28"/>
        </w:rPr>
        <w:t xml:space="preserve">» </w:t>
      </w:r>
      <w:r w:rsidRPr="00187789">
        <w:rPr>
          <w:sz w:val="28"/>
          <w:szCs w:val="28"/>
        </w:rPr>
        <w:t>изложить в следующей редакции:</w:t>
      </w:r>
    </w:p>
    <w:p w:rsidR="0080324F" w:rsidRPr="00187789" w:rsidRDefault="0080324F" w:rsidP="0080324F">
      <w:pPr>
        <w:tabs>
          <w:tab w:val="left" w:pos="0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187789">
        <w:rPr>
          <w:sz w:val="28"/>
          <w:szCs w:val="28"/>
        </w:rPr>
        <w:t>«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60"/>
        <w:gridCol w:w="8520"/>
        <w:gridCol w:w="5194"/>
      </w:tblGrid>
      <w:tr w:rsidR="0080324F" w:rsidRPr="00FA72E4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FA72E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FA72E4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Наименование операции, включенной в Пакет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Основной размер вознаграждения</w:t>
            </w:r>
          </w:p>
        </w:tc>
      </w:tr>
      <w:tr w:rsidR="0080324F" w:rsidRPr="00FA72E4" w:rsidTr="002D6DD4">
        <w:trPr>
          <w:trHeight w:val="300"/>
        </w:trPr>
        <w:tc>
          <w:tcPr>
            <w:tcW w:w="1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80324F" w:rsidRPr="00FA72E4" w:rsidRDefault="0080324F" w:rsidP="002D6DD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5.2.4. ПАКЕТ операций по обслуживанию юридических лиц «Развитие»</w:t>
            </w:r>
          </w:p>
        </w:tc>
      </w:tr>
      <w:tr w:rsidR="0080324F" w:rsidRPr="00FA72E4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ЕЖЕМЕСЯЧНАЯ ПЛАТА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40E0A" w:rsidRDefault="0080324F" w:rsidP="002D6DD4">
            <w:pPr>
              <w:jc w:val="center"/>
              <w:rPr>
                <w:b/>
                <w:bCs/>
                <w:sz w:val="24"/>
                <w:szCs w:val="24"/>
              </w:rPr>
            </w:pPr>
            <w:r w:rsidRPr="00F40E0A">
              <w:rPr>
                <w:b/>
                <w:bCs/>
                <w:sz w:val="24"/>
                <w:szCs w:val="24"/>
              </w:rPr>
              <w:t xml:space="preserve"> 27.00 BYN</w:t>
            </w:r>
          </w:p>
        </w:tc>
      </w:tr>
      <w:tr w:rsidR="0080324F" w:rsidRPr="00FA72E4" w:rsidTr="001563B2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ОТКРЫТИЕ И ОБСЛУЖИВАНИЕ (ВЕДЕНИЕ) СЧЕТОВ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F40E0A" w:rsidRDefault="0080324F" w:rsidP="002D6DD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40E0A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80324F" w:rsidRPr="00FA72E4" w:rsidTr="001563B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 xml:space="preserve">Открытие текущего (расчетного) банковского счета/ субсчета/ специального счета в белорусских рублях  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F40E0A" w:rsidRDefault="0080324F" w:rsidP="002D6DD4">
            <w:pPr>
              <w:jc w:val="center"/>
              <w:rPr>
                <w:b/>
                <w:bCs/>
              </w:rPr>
            </w:pPr>
            <w:r w:rsidRPr="00F40E0A">
              <w:rPr>
                <w:b/>
                <w:bCs/>
              </w:rPr>
              <w:t>Без ограничения количества счетов</w:t>
            </w:r>
          </w:p>
        </w:tc>
      </w:tr>
      <w:tr w:rsidR="0080324F" w:rsidRPr="00FA72E4" w:rsidTr="001563B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 xml:space="preserve">Открытие текущих (расчетных) банковских счетов, субсчетов, специальных счетов в иностранной валюте  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 xml:space="preserve">Без ограничения количества счетов </w:t>
            </w:r>
          </w:p>
        </w:tc>
      </w:tr>
      <w:tr w:rsidR="0080324F" w:rsidRPr="00FA72E4" w:rsidTr="001563B2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Без ограничения количества подписей</w:t>
            </w:r>
          </w:p>
        </w:tc>
      </w:tr>
      <w:tr w:rsidR="0080324F" w:rsidRPr="00FA72E4" w:rsidTr="001563B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FA72E4" w:rsidRDefault="0080324F" w:rsidP="002D6D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A72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24F" w:rsidRPr="00FA72E4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 xml:space="preserve">Ведение картотеки к </w:t>
            </w:r>
            <w:proofErr w:type="spellStart"/>
            <w:r w:rsidRPr="00FA72E4">
              <w:rPr>
                <w:color w:val="000000"/>
                <w:sz w:val="18"/>
                <w:szCs w:val="18"/>
              </w:rPr>
              <w:t>внебалансовому</w:t>
            </w:r>
            <w:proofErr w:type="spellEnd"/>
            <w:r w:rsidRPr="00FA72E4">
              <w:rPr>
                <w:color w:val="000000"/>
                <w:sz w:val="18"/>
                <w:szCs w:val="18"/>
              </w:rPr>
              <w:t xml:space="preserve"> счету «Расчетные документы, не оплаченные в срок»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FA72E4" w:rsidRDefault="0080324F" w:rsidP="002D6D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A72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24F" w:rsidRPr="00FA72E4" w:rsidTr="002D6DD4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lastRenderedPageBreak/>
              <w:t>1.6.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 xml:space="preserve">Исполнение переводов в системе BISS: </w:t>
            </w:r>
            <w:r w:rsidRPr="00FA72E4">
              <w:rPr>
                <w:color w:val="000000"/>
                <w:sz w:val="18"/>
                <w:szCs w:val="18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FA72E4" w:rsidRDefault="0080324F" w:rsidP="002D6DD4">
            <w:pPr>
              <w:jc w:val="both"/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324F" w:rsidRPr="00FA72E4" w:rsidTr="002D6DD4">
        <w:trPr>
          <w:trHeight w:val="2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 xml:space="preserve">    включено в Пакет операций;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15 в месяц</w:t>
            </w:r>
          </w:p>
        </w:tc>
      </w:tr>
      <w:tr w:rsidR="0080324F" w:rsidRPr="00FA72E4" w:rsidTr="002D6DD4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 xml:space="preserve">    сверх Пакета операций – за один документ; 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0.90 BYN</w:t>
            </w:r>
          </w:p>
        </w:tc>
      </w:tr>
      <w:tr w:rsidR="0080324F" w:rsidRPr="00FA72E4" w:rsidTr="002D6DD4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Исполнение переводов в расчетной системе Банка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80324F" w:rsidRPr="00FA72E4" w:rsidTr="002D6DD4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Прием наличных денежных сре</w:t>
            </w:r>
            <w:proofErr w:type="gramStart"/>
            <w:r w:rsidRPr="00FA72E4">
              <w:rPr>
                <w:color w:val="000000"/>
                <w:sz w:val="18"/>
                <w:szCs w:val="18"/>
              </w:rPr>
              <w:t>дств в б</w:t>
            </w:r>
            <w:proofErr w:type="gramEnd"/>
            <w:r w:rsidRPr="00FA72E4">
              <w:rPr>
                <w:color w:val="000000"/>
                <w:sz w:val="18"/>
                <w:szCs w:val="18"/>
              </w:rPr>
              <w:t>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 xml:space="preserve">0.1 % от суммы, </w:t>
            </w:r>
            <w:r w:rsidRPr="00FA72E4">
              <w:rPr>
                <w:b/>
                <w:bCs/>
                <w:color w:val="000000"/>
                <w:sz w:val="18"/>
                <w:szCs w:val="18"/>
              </w:rPr>
              <w:br/>
              <w:t>минимум 2.00 BYN (по одному документу)</w:t>
            </w:r>
          </w:p>
        </w:tc>
      </w:tr>
      <w:tr w:rsidR="0080324F" w:rsidRPr="00FA72E4" w:rsidTr="002D6DD4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Прием и обработка расчетных документов, представленных на инкассо:</w:t>
            </w:r>
            <w:r w:rsidRPr="00FA72E4">
              <w:rPr>
                <w:color w:val="000000"/>
                <w:sz w:val="18"/>
                <w:szCs w:val="18"/>
              </w:rPr>
              <w:br/>
              <w:t>платежных требований, переданных в электронном виде: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FA72E4" w:rsidTr="002D6DD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за один документ.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1.00 BYN</w:t>
            </w:r>
          </w:p>
        </w:tc>
      </w:tr>
      <w:tr w:rsidR="0080324F" w:rsidRPr="00FA72E4" w:rsidTr="002D6DD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ДИСТАНЦИОННОЕ БАНКОВСКОЕ ОБСЛУЖИВАНИЕ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324F" w:rsidRPr="00FA72E4" w:rsidRDefault="0080324F" w:rsidP="002D6DD4">
            <w:pPr>
              <w:jc w:val="both"/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324F" w:rsidRPr="00FA72E4" w:rsidTr="002D6DD4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Подключение клиента к подсистеме «Интернет-клиент» системы ДБО «BS-</w:t>
            </w:r>
            <w:proofErr w:type="spellStart"/>
            <w:r w:rsidRPr="00FA72E4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FA72E4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FA72E4" w:rsidTr="002D6DD4">
        <w:trPr>
          <w:trHeight w:val="2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FA72E4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FA72E4">
              <w:rPr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FA72E4" w:rsidTr="002D6DD4">
        <w:trPr>
          <w:trHeight w:val="21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proofErr w:type="gramStart"/>
            <w:r w:rsidRPr="00FA72E4">
              <w:rPr>
                <w:color w:val="000000"/>
                <w:sz w:val="18"/>
                <w:szCs w:val="18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FA72E4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FA72E4">
              <w:rPr>
                <w:color w:val="000000"/>
                <w:sz w:val="18"/>
                <w:szCs w:val="18"/>
              </w:rPr>
              <w:t>» по запросу клиента:</w:t>
            </w:r>
            <w:r w:rsidRPr="00FA72E4">
              <w:rPr>
                <w:color w:val="000000"/>
                <w:sz w:val="18"/>
                <w:szCs w:val="18"/>
              </w:rPr>
              <w:br/>
              <w:t xml:space="preserve">о состоянии картотеки; </w:t>
            </w:r>
            <w:r w:rsidRPr="00FA72E4">
              <w:rPr>
                <w:color w:val="000000"/>
                <w:sz w:val="18"/>
                <w:szCs w:val="18"/>
              </w:rPr>
              <w:br/>
              <w:t xml:space="preserve">о забронированных денежных средствах; </w:t>
            </w:r>
            <w:r w:rsidRPr="00FA72E4">
              <w:rPr>
                <w:color w:val="000000"/>
                <w:sz w:val="18"/>
                <w:szCs w:val="18"/>
              </w:rPr>
              <w:br/>
              <w:t xml:space="preserve">об исполнении платежных требований, в </w:t>
            </w:r>
            <w:proofErr w:type="spellStart"/>
            <w:r w:rsidRPr="00FA72E4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FA72E4">
              <w:rPr>
                <w:color w:val="000000"/>
                <w:sz w:val="18"/>
                <w:szCs w:val="18"/>
              </w:rPr>
              <w:t>. принятых на инкассо;</w:t>
            </w:r>
            <w:r w:rsidRPr="00FA72E4">
              <w:rPr>
                <w:color w:val="000000"/>
                <w:sz w:val="18"/>
                <w:szCs w:val="18"/>
              </w:rPr>
              <w:br/>
              <w:t xml:space="preserve">об ограничениях/отмене ограничений по счетам органами взыскания; </w:t>
            </w:r>
            <w:r w:rsidRPr="00FA72E4">
              <w:rPr>
                <w:color w:val="000000"/>
                <w:sz w:val="18"/>
                <w:szCs w:val="18"/>
              </w:rPr>
              <w:br/>
              <w:t>о поступивших/отозванных распоряжениях ИМНС;</w:t>
            </w:r>
            <w:r w:rsidRPr="00FA72E4">
              <w:rPr>
                <w:color w:val="000000"/>
                <w:sz w:val="18"/>
                <w:szCs w:val="18"/>
              </w:rPr>
              <w:br/>
              <w:t>об открытых (действующих) депозитах;</w:t>
            </w:r>
            <w:r w:rsidRPr="00FA72E4">
              <w:rPr>
                <w:color w:val="000000"/>
                <w:sz w:val="18"/>
                <w:szCs w:val="18"/>
              </w:rPr>
              <w:br/>
              <w:t>о платежах, принятых в пользу клиента за товары, работы (услуги);</w:t>
            </w:r>
            <w:proofErr w:type="gramEnd"/>
            <w:r w:rsidRPr="00FA72E4">
              <w:rPr>
                <w:color w:val="000000"/>
                <w:sz w:val="18"/>
                <w:szCs w:val="18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Без ограничения количества запросов</w:t>
            </w:r>
          </w:p>
        </w:tc>
      </w:tr>
      <w:tr w:rsidR="0080324F" w:rsidRPr="00FA72E4" w:rsidTr="002D6DD4">
        <w:trPr>
          <w:trHeight w:val="15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 xml:space="preserve">Подключение клиента </w:t>
            </w:r>
            <w:proofErr w:type="gramStart"/>
            <w:r w:rsidRPr="00FA72E4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FA72E4">
              <w:rPr>
                <w:color w:val="000000"/>
                <w:sz w:val="18"/>
                <w:szCs w:val="18"/>
              </w:rPr>
              <w:t xml:space="preserve"> АС «</w:t>
            </w:r>
            <w:proofErr w:type="spellStart"/>
            <w:r w:rsidRPr="00FA72E4">
              <w:rPr>
                <w:color w:val="000000"/>
                <w:sz w:val="18"/>
                <w:szCs w:val="18"/>
              </w:rPr>
              <w:t>SavEx</w:t>
            </w:r>
            <w:proofErr w:type="spellEnd"/>
            <w:r w:rsidRPr="00FA72E4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FA72E4" w:rsidTr="002D6DD4">
        <w:trPr>
          <w:trHeight w:val="2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2.5.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 xml:space="preserve">Подключение клиента к системе «Мобильный клиент»  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80324F" w:rsidRPr="00FA72E4" w:rsidTr="002D6DD4">
        <w:trPr>
          <w:trHeight w:val="13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2.6.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FA72E4" w:rsidTr="002D6DD4">
        <w:trPr>
          <w:trHeight w:val="19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FA72E4" w:rsidTr="002D6DD4">
        <w:trPr>
          <w:trHeight w:val="2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FA72E4" w:rsidTr="002D6DD4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 xml:space="preserve">В Пакет операций включено обслуживание </w:t>
            </w:r>
            <w:r w:rsidRPr="00FA72E4">
              <w:rPr>
                <w:b/>
                <w:bCs/>
                <w:color w:val="000000"/>
                <w:sz w:val="18"/>
                <w:szCs w:val="18"/>
              </w:rPr>
              <w:br/>
              <w:t>2 карточек (</w:t>
            </w:r>
            <w:proofErr w:type="spellStart"/>
            <w:r w:rsidRPr="00FA72E4">
              <w:rPr>
                <w:b/>
                <w:bCs/>
                <w:color w:val="000000"/>
                <w:sz w:val="18"/>
                <w:szCs w:val="18"/>
              </w:rPr>
              <w:t>Master</w:t>
            </w:r>
            <w:proofErr w:type="spellEnd"/>
            <w:r w:rsidRPr="00FA72E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72E4">
              <w:rPr>
                <w:b/>
                <w:bCs/>
                <w:color w:val="000000"/>
                <w:sz w:val="18"/>
                <w:szCs w:val="18"/>
              </w:rPr>
              <w:t>Card</w:t>
            </w:r>
            <w:proofErr w:type="spellEnd"/>
            <w:r w:rsidRPr="00FA72E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72E4">
              <w:rPr>
                <w:b/>
                <w:bCs/>
                <w:color w:val="000000"/>
                <w:sz w:val="18"/>
                <w:szCs w:val="18"/>
              </w:rPr>
              <w:t>Business</w:t>
            </w:r>
            <w:proofErr w:type="spellEnd"/>
            <w:r w:rsidRPr="00FA72E4">
              <w:rPr>
                <w:b/>
                <w:bCs/>
                <w:color w:val="000000"/>
                <w:sz w:val="18"/>
                <w:szCs w:val="18"/>
              </w:rPr>
              <w:t xml:space="preserve"> и/или </w:t>
            </w:r>
            <w:proofErr w:type="spellStart"/>
            <w:r w:rsidRPr="00FA72E4">
              <w:rPr>
                <w:b/>
                <w:bCs/>
                <w:color w:val="000000"/>
                <w:sz w:val="18"/>
                <w:szCs w:val="18"/>
              </w:rPr>
              <w:t>Visa</w:t>
            </w:r>
            <w:proofErr w:type="spellEnd"/>
            <w:r w:rsidRPr="00FA72E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72E4">
              <w:rPr>
                <w:b/>
                <w:bCs/>
                <w:color w:val="000000"/>
                <w:sz w:val="18"/>
                <w:szCs w:val="18"/>
              </w:rPr>
              <w:t>Business</w:t>
            </w:r>
            <w:proofErr w:type="spellEnd"/>
            <w:r w:rsidRPr="00FA72E4">
              <w:rPr>
                <w:b/>
                <w:bCs/>
                <w:color w:val="000000"/>
                <w:sz w:val="18"/>
                <w:szCs w:val="18"/>
              </w:rPr>
              <w:t>) единожды</w:t>
            </w:r>
          </w:p>
        </w:tc>
      </w:tr>
      <w:tr w:rsidR="0080324F" w:rsidRPr="00FA72E4" w:rsidTr="001563B2">
        <w:trPr>
          <w:trHeight w:val="2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3.3.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Открытие счета с использованием банковских платежных карточек в иностранной валюте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FA72E4" w:rsidTr="001563B2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3.4.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Обслуживание корпоративной банковской платежной карточки в иностранной валюте в течение срока ее действия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 xml:space="preserve">В Пакет операций включено обслуживание </w:t>
            </w:r>
            <w:r w:rsidRPr="00FA72E4">
              <w:rPr>
                <w:b/>
                <w:bCs/>
                <w:color w:val="000000"/>
                <w:sz w:val="18"/>
                <w:szCs w:val="18"/>
              </w:rPr>
              <w:br/>
              <w:t>2 карточек (</w:t>
            </w:r>
            <w:proofErr w:type="spellStart"/>
            <w:r w:rsidRPr="00FA72E4">
              <w:rPr>
                <w:b/>
                <w:bCs/>
                <w:color w:val="000000"/>
                <w:sz w:val="18"/>
                <w:szCs w:val="18"/>
              </w:rPr>
              <w:t>Master</w:t>
            </w:r>
            <w:proofErr w:type="spellEnd"/>
            <w:r w:rsidRPr="00FA72E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72E4">
              <w:rPr>
                <w:b/>
                <w:bCs/>
                <w:color w:val="000000"/>
                <w:sz w:val="18"/>
                <w:szCs w:val="18"/>
              </w:rPr>
              <w:t>Card</w:t>
            </w:r>
            <w:proofErr w:type="spellEnd"/>
            <w:r w:rsidRPr="00FA72E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72E4">
              <w:rPr>
                <w:b/>
                <w:bCs/>
                <w:color w:val="000000"/>
                <w:sz w:val="18"/>
                <w:szCs w:val="18"/>
              </w:rPr>
              <w:t>Business</w:t>
            </w:r>
            <w:proofErr w:type="spellEnd"/>
            <w:r w:rsidRPr="00FA72E4">
              <w:rPr>
                <w:b/>
                <w:bCs/>
                <w:color w:val="000000"/>
                <w:sz w:val="18"/>
                <w:szCs w:val="18"/>
              </w:rPr>
              <w:t xml:space="preserve"> и/или </w:t>
            </w:r>
            <w:proofErr w:type="spellStart"/>
            <w:r w:rsidRPr="00FA72E4">
              <w:rPr>
                <w:b/>
                <w:bCs/>
                <w:color w:val="000000"/>
                <w:sz w:val="18"/>
                <w:szCs w:val="18"/>
              </w:rPr>
              <w:t>Visa</w:t>
            </w:r>
            <w:proofErr w:type="spellEnd"/>
            <w:r w:rsidRPr="00FA72E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72E4">
              <w:rPr>
                <w:b/>
                <w:bCs/>
                <w:color w:val="000000"/>
                <w:sz w:val="18"/>
                <w:szCs w:val="18"/>
              </w:rPr>
              <w:t>Business</w:t>
            </w:r>
            <w:proofErr w:type="spellEnd"/>
            <w:r w:rsidRPr="00FA72E4">
              <w:rPr>
                <w:b/>
                <w:bCs/>
                <w:color w:val="000000"/>
                <w:sz w:val="18"/>
                <w:szCs w:val="18"/>
              </w:rPr>
              <w:t>) единожды</w:t>
            </w:r>
          </w:p>
        </w:tc>
      </w:tr>
      <w:tr w:rsidR="0080324F" w:rsidRPr="00FA72E4" w:rsidTr="001563B2">
        <w:trPr>
          <w:trHeight w:val="15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ДОПОЛНИТЕЛЬНЫЕ УСЛУГИ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0324F" w:rsidRPr="00FA72E4" w:rsidTr="001563B2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FA72E4" w:rsidRDefault="0080324F" w:rsidP="002D6DD4">
            <w:pPr>
              <w:rPr>
                <w:color w:val="000000"/>
                <w:sz w:val="18"/>
                <w:szCs w:val="18"/>
              </w:rPr>
            </w:pPr>
            <w:r w:rsidRPr="00FA72E4">
              <w:rPr>
                <w:color w:val="000000"/>
                <w:sz w:val="18"/>
                <w:szCs w:val="18"/>
              </w:rPr>
              <w:t>Зачисление заработной платы и иных приравненных к ней платежей (в том числе вытекающих из гражданско-правовых отношений) на счета физических лиц от юридических лиц (индивидуального предпринимателя) по платежным документам и спискам, поступившим в форме электронных документов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FA72E4" w:rsidRDefault="0080324F" w:rsidP="002D6D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72E4">
              <w:rPr>
                <w:b/>
                <w:bCs/>
                <w:color w:val="000000"/>
                <w:sz w:val="18"/>
                <w:szCs w:val="18"/>
              </w:rPr>
              <w:t>0,99% от суммы</w:t>
            </w:r>
            <w:r w:rsidRPr="00FA72E4">
              <w:rPr>
                <w:b/>
                <w:bCs/>
                <w:color w:val="000000"/>
                <w:sz w:val="18"/>
                <w:szCs w:val="18"/>
              </w:rPr>
              <w:br/>
              <w:t xml:space="preserve">при подключении к зарплатной программе </w:t>
            </w:r>
            <w:r w:rsidRPr="00FA72E4">
              <w:rPr>
                <w:b/>
                <w:bCs/>
                <w:color w:val="000000"/>
                <w:sz w:val="18"/>
                <w:szCs w:val="18"/>
              </w:rPr>
              <w:br/>
              <w:t>"Вместе к успеху"</w:t>
            </w:r>
          </w:p>
        </w:tc>
      </w:tr>
    </w:tbl>
    <w:p w:rsidR="0080324F" w:rsidRPr="00FA72E4" w:rsidRDefault="0080324F" w:rsidP="0080324F">
      <w:pPr>
        <w:ind w:left="1069"/>
        <w:jc w:val="right"/>
        <w:rPr>
          <w:sz w:val="28"/>
          <w:szCs w:val="28"/>
        </w:rPr>
      </w:pPr>
      <w:r w:rsidRPr="00834EE5">
        <w:rPr>
          <w:sz w:val="28"/>
          <w:szCs w:val="28"/>
        </w:rPr>
        <w:t>»;</w:t>
      </w:r>
    </w:p>
    <w:p w:rsidR="0080324F" w:rsidRDefault="0080324F" w:rsidP="006A63D6">
      <w:pPr>
        <w:numPr>
          <w:ilvl w:val="1"/>
          <w:numId w:val="4"/>
        </w:numPr>
        <w:tabs>
          <w:tab w:val="left" w:pos="0"/>
          <w:tab w:val="left" w:pos="851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>
        <w:rPr>
          <w:sz w:val="28"/>
          <w:szCs w:val="28"/>
        </w:rPr>
        <w:t>подпункт 1.1 п</w:t>
      </w:r>
      <w:r w:rsidRPr="00C10909">
        <w:rPr>
          <w:sz w:val="28"/>
          <w:szCs w:val="28"/>
        </w:rPr>
        <w:t>ункт</w:t>
      </w:r>
      <w:r>
        <w:rPr>
          <w:sz w:val="28"/>
          <w:szCs w:val="28"/>
        </w:rPr>
        <w:t xml:space="preserve">ов 5.2.5 </w:t>
      </w:r>
      <w:r w:rsidRPr="00C10909">
        <w:rPr>
          <w:sz w:val="28"/>
          <w:szCs w:val="28"/>
        </w:rPr>
        <w:t>Пакет</w:t>
      </w:r>
      <w:r>
        <w:rPr>
          <w:sz w:val="28"/>
          <w:szCs w:val="28"/>
        </w:rPr>
        <w:t>а</w:t>
      </w:r>
      <w:r w:rsidRPr="00C10909">
        <w:rPr>
          <w:sz w:val="28"/>
          <w:szCs w:val="28"/>
        </w:rPr>
        <w:t xml:space="preserve"> операций по обслуживани</w:t>
      </w:r>
      <w:r w:rsidR="001563B2">
        <w:rPr>
          <w:sz w:val="28"/>
          <w:szCs w:val="28"/>
        </w:rPr>
        <w:t>ю</w:t>
      </w:r>
      <w:r w:rsidRPr="00C10909">
        <w:rPr>
          <w:sz w:val="28"/>
          <w:szCs w:val="28"/>
        </w:rPr>
        <w:t xml:space="preserve"> </w:t>
      </w:r>
      <w:r w:rsidR="001563B2" w:rsidRPr="00C10909">
        <w:rPr>
          <w:sz w:val="28"/>
          <w:szCs w:val="28"/>
        </w:rPr>
        <w:t xml:space="preserve">юридических лиц </w:t>
      </w:r>
      <w:r w:rsidRPr="00C10909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Оптима</w:t>
      </w:r>
      <w:proofErr w:type="spellEnd"/>
      <w:r w:rsidRPr="00C1090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A72E4">
        <w:rPr>
          <w:sz w:val="28"/>
          <w:szCs w:val="28"/>
        </w:rPr>
        <w:t xml:space="preserve"> </w:t>
      </w:r>
      <w:r w:rsidRPr="00C10909">
        <w:rPr>
          <w:sz w:val="28"/>
          <w:szCs w:val="28"/>
        </w:rPr>
        <w:t>5.2.6</w:t>
      </w:r>
      <w:r>
        <w:rPr>
          <w:sz w:val="28"/>
          <w:szCs w:val="28"/>
        </w:rPr>
        <w:t xml:space="preserve"> </w:t>
      </w:r>
      <w:r w:rsidRPr="00C10909">
        <w:rPr>
          <w:sz w:val="28"/>
          <w:szCs w:val="28"/>
        </w:rPr>
        <w:t>Пакет</w:t>
      </w:r>
      <w:r>
        <w:rPr>
          <w:sz w:val="28"/>
          <w:szCs w:val="28"/>
        </w:rPr>
        <w:t>а</w:t>
      </w:r>
      <w:r w:rsidRPr="00C10909">
        <w:rPr>
          <w:sz w:val="28"/>
          <w:szCs w:val="28"/>
        </w:rPr>
        <w:t xml:space="preserve"> операций по обслуживани</w:t>
      </w:r>
      <w:r w:rsidR="001563B2">
        <w:rPr>
          <w:sz w:val="28"/>
          <w:szCs w:val="28"/>
        </w:rPr>
        <w:t>ю</w:t>
      </w:r>
      <w:r w:rsidRPr="00C10909">
        <w:rPr>
          <w:sz w:val="28"/>
          <w:szCs w:val="28"/>
        </w:rPr>
        <w:t xml:space="preserve"> юридических лиц «Лидер»</w:t>
      </w:r>
      <w:r>
        <w:rPr>
          <w:sz w:val="28"/>
          <w:szCs w:val="28"/>
        </w:rPr>
        <w:t>,</w:t>
      </w:r>
      <w:r w:rsidRPr="00FA72E4">
        <w:rPr>
          <w:sz w:val="28"/>
          <w:szCs w:val="28"/>
        </w:rPr>
        <w:t xml:space="preserve"> </w:t>
      </w:r>
      <w:r w:rsidRPr="00C10909">
        <w:rPr>
          <w:sz w:val="28"/>
          <w:szCs w:val="28"/>
        </w:rPr>
        <w:t>5.2.7</w:t>
      </w:r>
      <w:r>
        <w:rPr>
          <w:sz w:val="28"/>
          <w:szCs w:val="28"/>
        </w:rPr>
        <w:t xml:space="preserve"> </w:t>
      </w:r>
      <w:r w:rsidRPr="00C10909">
        <w:rPr>
          <w:sz w:val="28"/>
          <w:szCs w:val="28"/>
        </w:rPr>
        <w:t>Пакет</w:t>
      </w:r>
      <w:r>
        <w:rPr>
          <w:sz w:val="28"/>
          <w:szCs w:val="28"/>
        </w:rPr>
        <w:t>а</w:t>
      </w:r>
      <w:r w:rsidRPr="00C10909">
        <w:rPr>
          <w:sz w:val="28"/>
          <w:szCs w:val="28"/>
        </w:rPr>
        <w:t xml:space="preserve"> операций по обслуживани</w:t>
      </w:r>
      <w:r w:rsidR="001563B2">
        <w:rPr>
          <w:sz w:val="28"/>
          <w:szCs w:val="28"/>
        </w:rPr>
        <w:t>ю</w:t>
      </w:r>
      <w:r w:rsidRPr="00C10909">
        <w:rPr>
          <w:sz w:val="28"/>
          <w:szCs w:val="28"/>
        </w:rPr>
        <w:t xml:space="preserve"> юридических лиц «Профи»</w:t>
      </w:r>
      <w:r>
        <w:rPr>
          <w:sz w:val="28"/>
          <w:szCs w:val="28"/>
        </w:rPr>
        <w:t>,</w:t>
      </w:r>
      <w:r w:rsidRPr="00FA72E4">
        <w:rPr>
          <w:sz w:val="28"/>
          <w:szCs w:val="28"/>
        </w:rPr>
        <w:t xml:space="preserve"> </w:t>
      </w:r>
      <w:r w:rsidRPr="00C10909">
        <w:rPr>
          <w:sz w:val="28"/>
          <w:szCs w:val="28"/>
        </w:rPr>
        <w:t>5.2.8</w:t>
      </w:r>
      <w:r>
        <w:rPr>
          <w:sz w:val="28"/>
          <w:szCs w:val="28"/>
        </w:rPr>
        <w:t xml:space="preserve"> </w:t>
      </w:r>
      <w:r w:rsidRPr="00C10909">
        <w:rPr>
          <w:sz w:val="28"/>
          <w:szCs w:val="28"/>
        </w:rPr>
        <w:t>Пакет</w:t>
      </w:r>
      <w:r>
        <w:rPr>
          <w:sz w:val="28"/>
          <w:szCs w:val="28"/>
        </w:rPr>
        <w:t>а</w:t>
      </w:r>
      <w:r w:rsidRPr="00C10909">
        <w:rPr>
          <w:sz w:val="28"/>
          <w:szCs w:val="28"/>
        </w:rPr>
        <w:t xml:space="preserve"> операций по обслуживани</w:t>
      </w:r>
      <w:r w:rsidR="001563B2">
        <w:rPr>
          <w:sz w:val="28"/>
          <w:szCs w:val="28"/>
        </w:rPr>
        <w:t>ю</w:t>
      </w:r>
      <w:r w:rsidRPr="00C10909">
        <w:rPr>
          <w:sz w:val="28"/>
          <w:szCs w:val="28"/>
        </w:rPr>
        <w:t xml:space="preserve"> юридических лиц «</w:t>
      </w:r>
      <w:r>
        <w:rPr>
          <w:sz w:val="28"/>
          <w:szCs w:val="28"/>
        </w:rPr>
        <w:t>Приоритет»,</w:t>
      </w:r>
      <w:r w:rsidRPr="00FA72E4">
        <w:rPr>
          <w:sz w:val="28"/>
          <w:szCs w:val="28"/>
        </w:rPr>
        <w:t xml:space="preserve"> </w:t>
      </w:r>
      <w:r w:rsidRPr="00C10909">
        <w:rPr>
          <w:sz w:val="28"/>
          <w:szCs w:val="28"/>
        </w:rPr>
        <w:t>5.2.9</w:t>
      </w:r>
      <w:r>
        <w:rPr>
          <w:sz w:val="28"/>
          <w:szCs w:val="28"/>
        </w:rPr>
        <w:t xml:space="preserve"> </w:t>
      </w:r>
      <w:r w:rsidRPr="00C10909">
        <w:rPr>
          <w:sz w:val="28"/>
          <w:szCs w:val="28"/>
        </w:rPr>
        <w:t>Пакет</w:t>
      </w:r>
      <w:r>
        <w:rPr>
          <w:sz w:val="28"/>
          <w:szCs w:val="28"/>
        </w:rPr>
        <w:t xml:space="preserve">а </w:t>
      </w:r>
      <w:r w:rsidRPr="00C10909">
        <w:rPr>
          <w:sz w:val="28"/>
          <w:szCs w:val="28"/>
        </w:rPr>
        <w:t>операций по обслужи</w:t>
      </w:r>
      <w:r>
        <w:rPr>
          <w:sz w:val="28"/>
          <w:szCs w:val="28"/>
        </w:rPr>
        <w:t>вани</w:t>
      </w:r>
      <w:r w:rsidR="001563B2">
        <w:rPr>
          <w:sz w:val="28"/>
          <w:szCs w:val="28"/>
        </w:rPr>
        <w:t>ю</w:t>
      </w:r>
      <w:r>
        <w:rPr>
          <w:sz w:val="28"/>
          <w:szCs w:val="28"/>
        </w:rPr>
        <w:t xml:space="preserve"> юридических лиц «Престиж»,</w:t>
      </w:r>
      <w:r w:rsidRPr="00FA72E4">
        <w:rPr>
          <w:sz w:val="28"/>
          <w:szCs w:val="28"/>
        </w:rPr>
        <w:t xml:space="preserve"> </w:t>
      </w:r>
      <w:r w:rsidRPr="00C10909">
        <w:rPr>
          <w:sz w:val="28"/>
          <w:szCs w:val="28"/>
        </w:rPr>
        <w:t>5.2.10</w:t>
      </w:r>
      <w:r>
        <w:rPr>
          <w:sz w:val="28"/>
          <w:szCs w:val="28"/>
        </w:rPr>
        <w:t xml:space="preserve"> </w:t>
      </w:r>
      <w:r w:rsidRPr="00C10909">
        <w:rPr>
          <w:sz w:val="28"/>
          <w:szCs w:val="28"/>
        </w:rPr>
        <w:t>Пакет</w:t>
      </w:r>
      <w:r>
        <w:rPr>
          <w:sz w:val="28"/>
          <w:szCs w:val="28"/>
        </w:rPr>
        <w:t>а</w:t>
      </w:r>
      <w:r w:rsidRPr="00C10909">
        <w:rPr>
          <w:sz w:val="28"/>
          <w:szCs w:val="28"/>
        </w:rPr>
        <w:t xml:space="preserve"> операций по обслуживани</w:t>
      </w:r>
      <w:r w:rsidR="001563B2">
        <w:rPr>
          <w:sz w:val="28"/>
          <w:szCs w:val="28"/>
        </w:rPr>
        <w:t>ю</w:t>
      </w:r>
      <w:r w:rsidRPr="00C10909">
        <w:rPr>
          <w:sz w:val="28"/>
          <w:szCs w:val="28"/>
        </w:rPr>
        <w:t xml:space="preserve"> юридических лиц «Элит»  </w:t>
      </w:r>
      <w:r w:rsidRPr="00187789">
        <w:rPr>
          <w:sz w:val="28"/>
          <w:szCs w:val="28"/>
        </w:rPr>
        <w:t>изложить в следующей редакции:</w:t>
      </w:r>
      <w:proofErr w:type="gramEnd"/>
    </w:p>
    <w:p w:rsidR="0080324F" w:rsidRDefault="0080324F" w:rsidP="0080324F">
      <w:pPr>
        <w:tabs>
          <w:tab w:val="left" w:pos="0"/>
          <w:tab w:val="left" w:pos="851"/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60"/>
        <w:gridCol w:w="8520"/>
        <w:gridCol w:w="5194"/>
      </w:tblGrid>
      <w:tr w:rsidR="0080324F" w:rsidRPr="00187789" w:rsidTr="002D6DD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24"/>
                <w:szCs w:val="24"/>
              </w:rPr>
            </w:pPr>
            <w:r w:rsidRPr="00187789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4F" w:rsidRPr="00187789" w:rsidRDefault="0080324F" w:rsidP="002D6DD4">
            <w:pPr>
              <w:rPr>
                <w:color w:val="000000"/>
                <w:sz w:val="24"/>
                <w:szCs w:val="24"/>
              </w:rPr>
            </w:pPr>
            <w:r w:rsidRPr="00187789">
              <w:rPr>
                <w:color w:val="000000"/>
                <w:sz w:val="24"/>
                <w:szCs w:val="24"/>
              </w:rPr>
              <w:t>Открытие текущего (расчетного) банковского счета/ субсчета/ специального счета в белорусских рублях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24F" w:rsidRPr="00187789" w:rsidRDefault="0080324F" w:rsidP="002D6D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8A6">
              <w:rPr>
                <w:b/>
                <w:bCs/>
                <w:sz w:val="24"/>
                <w:szCs w:val="24"/>
              </w:rPr>
              <w:t>Без ограничения количества счетов</w:t>
            </w:r>
          </w:p>
        </w:tc>
      </w:tr>
    </w:tbl>
    <w:p w:rsidR="0080324F" w:rsidRDefault="0080324F" w:rsidP="0080324F">
      <w:pPr>
        <w:ind w:left="1069"/>
        <w:jc w:val="right"/>
        <w:rPr>
          <w:sz w:val="28"/>
          <w:szCs w:val="28"/>
          <w:lang w:val="en-US"/>
        </w:rPr>
      </w:pPr>
      <w:r w:rsidRPr="00834EE5">
        <w:rPr>
          <w:sz w:val="28"/>
          <w:szCs w:val="28"/>
        </w:rPr>
        <w:t>»</w:t>
      </w:r>
      <w:r w:rsidR="00442C61">
        <w:rPr>
          <w:sz w:val="28"/>
          <w:szCs w:val="28"/>
          <w:lang w:val="en-US"/>
        </w:rPr>
        <w:t>;</w:t>
      </w:r>
    </w:p>
    <w:p w:rsidR="00442C61" w:rsidRDefault="00442C61" w:rsidP="006A63D6">
      <w:pPr>
        <w:pStyle w:val="a8"/>
        <w:numPr>
          <w:ilvl w:val="1"/>
          <w:numId w:val="4"/>
        </w:numPr>
        <w:ind w:left="1430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Pr="00DE0E31"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 w:rsidRPr="00DE0E31">
        <w:rPr>
          <w:sz w:val="28"/>
          <w:szCs w:val="28"/>
        </w:rPr>
        <w:t>6</w:t>
      </w:r>
      <w:r>
        <w:rPr>
          <w:sz w:val="28"/>
          <w:szCs w:val="28"/>
        </w:rPr>
        <w:t>.1 Сборника изложить в следующей редакции:</w:t>
      </w:r>
    </w:p>
    <w:p w:rsidR="00442C61" w:rsidRPr="003807E1" w:rsidRDefault="00442C61" w:rsidP="00442C61">
      <w:pPr>
        <w:pStyle w:val="a8"/>
        <w:ind w:left="1430" w:hanging="721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1206"/>
        <w:gridCol w:w="3074"/>
        <w:gridCol w:w="1215"/>
        <w:gridCol w:w="1215"/>
        <w:gridCol w:w="1215"/>
        <w:gridCol w:w="1215"/>
        <w:gridCol w:w="5476"/>
      </w:tblGrid>
      <w:tr w:rsidR="00442C61" w:rsidRPr="003807E1" w:rsidTr="00654BD5">
        <w:trPr>
          <w:trHeight w:val="333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C61" w:rsidRPr="003807E1" w:rsidRDefault="00442C61" w:rsidP="00654BD5">
            <w:pPr>
              <w:pStyle w:val="Default"/>
            </w:pPr>
            <w:r w:rsidRPr="003807E1">
              <w:t xml:space="preserve">№ </w:t>
            </w:r>
            <w:proofErr w:type="gramStart"/>
            <w:r w:rsidRPr="003807E1">
              <w:t>п</w:t>
            </w:r>
            <w:proofErr w:type="gramEnd"/>
            <w:r w:rsidRPr="003807E1">
              <w:t>/п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2C61" w:rsidRPr="003807E1" w:rsidRDefault="00442C61" w:rsidP="00654BD5">
            <w:pPr>
              <w:pStyle w:val="Default"/>
            </w:pPr>
            <w:r w:rsidRPr="003807E1">
              <w:t>Наименование операции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2C61" w:rsidRPr="003807E1" w:rsidRDefault="00442C61" w:rsidP="00654BD5">
            <w:pPr>
              <w:pStyle w:val="Default"/>
              <w:jc w:val="center"/>
            </w:pPr>
            <w:r w:rsidRPr="003807E1">
              <w:t>Основной размер вознаграждения</w:t>
            </w:r>
          </w:p>
        </w:tc>
        <w:tc>
          <w:tcPr>
            <w:tcW w:w="54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2C61" w:rsidRPr="003807E1" w:rsidRDefault="00442C61" w:rsidP="00654BD5">
            <w:pPr>
              <w:pStyle w:val="Default"/>
              <w:jc w:val="center"/>
            </w:pPr>
            <w:r w:rsidRPr="003807E1">
              <w:t>Примечание:</w:t>
            </w:r>
          </w:p>
        </w:tc>
      </w:tr>
      <w:tr w:rsidR="00442C61" w:rsidRPr="003807E1" w:rsidTr="00654BD5">
        <w:trPr>
          <w:trHeight w:val="422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61" w:rsidRPr="003807E1" w:rsidRDefault="00442C61" w:rsidP="00654BD5">
            <w:pPr>
              <w:rPr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61" w:rsidRPr="003807E1" w:rsidRDefault="00442C61" w:rsidP="00654BD5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2C61" w:rsidRPr="003807E1" w:rsidRDefault="00442C61" w:rsidP="00654BD5">
            <w:pPr>
              <w:pStyle w:val="Default"/>
              <w:jc w:val="center"/>
            </w:pPr>
            <w:r w:rsidRPr="003807E1">
              <w:t>счет в BYN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C61" w:rsidRPr="003807E1" w:rsidRDefault="00442C61" w:rsidP="00654BD5">
            <w:pPr>
              <w:pStyle w:val="Default"/>
              <w:jc w:val="center"/>
            </w:pPr>
            <w:r w:rsidRPr="003807E1">
              <w:t>счет в USD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C61" w:rsidRPr="003807E1" w:rsidRDefault="00442C61" w:rsidP="00654BD5">
            <w:pPr>
              <w:pStyle w:val="Default"/>
              <w:jc w:val="center"/>
            </w:pPr>
            <w:r w:rsidRPr="003807E1">
              <w:t>счет в EUR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C61" w:rsidRPr="003807E1" w:rsidRDefault="00442C61" w:rsidP="00654BD5">
            <w:pPr>
              <w:pStyle w:val="Default"/>
              <w:jc w:val="center"/>
            </w:pPr>
            <w:r w:rsidRPr="003807E1">
              <w:t>счет в RUB</w:t>
            </w:r>
          </w:p>
        </w:tc>
        <w:tc>
          <w:tcPr>
            <w:tcW w:w="54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61" w:rsidRPr="003807E1" w:rsidRDefault="00442C61" w:rsidP="00654BD5">
            <w:pPr>
              <w:jc w:val="both"/>
              <w:rPr>
                <w:sz w:val="24"/>
                <w:szCs w:val="24"/>
              </w:rPr>
            </w:pPr>
          </w:p>
        </w:tc>
      </w:tr>
      <w:tr w:rsidR="00442C61" w:rsidRPr="003807E1" w:rsidTr="00654BD5">
        <w:trPr>
          <w:trHeight w:val="82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61" w:rsidRPr="003807E1" w:rsidRDefault="00442C61" w:rsidP="00654BD5">
            <w:pPr>
              <w:pStyle w:val="Default"/>
            </w:pPr>
            <w:r w:rsidRPr="003807E1">
              <w:t>7.1.6.1.</w:t>
            </w:r>
          </w:p>
          <w:p w:rsidR="00442C61" w:rsidRPr="003807E1" w:rsidRDefault="00442C61" w:rsidP="00654BD5">
            <w:pPr>
              <w:rPr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61" w:rsidRPr="003807E1" w:rsidRDefault="00442C61" w:rsidP="00654BD5">
            <w:pPr>
              <w:pStyle w:val="Default"/>
            </w:pPr>
            <w:r w:rsidRPr="003807E1">
              <w:t xml:space="preserve">SMS-оповещение клиента о совершенных операциях с использованием карточки без ограничения суммы операции: </w:t>
            </w:r>
            <w:proofErr w:type="spellStart"/>
            <w:r w:rsidRPr="003807E1">
              <w:t>MasterCard</w:t>
            </w:r>
            <w:proofErr w:type="spellEnd"/>
            <w:r w:rsidRPr="003807E1">
              <w:t xml:space="preserve"> </w:t>
            </w:r>
            <w:proofErr w:type="spellStart"/>
            <w:r w:rsidRPr="003807E1">
              <w:t>Business</w:t>
            </w:r>
            <w:proofErr w:type="spellEnd"/>
            <w:r w:rsidRPr="003807E1">
              <w:t xml:space="preserve">, </w:t>
            </w:r>
            <w:proofErr w:type="spellStart"/>
            <w:r w:rsidRPr="003807E1">
              <w:t>Visa</w:t>
            </w:r>
            <w:proofErr w:type="spellEnd"/>
            <w:r w:rsidRPr="003807E1">
              <w:t xml:space="preserve"> </w:t>
            </w:r>
            <w:proofErr w:type="spellStart"/>
            <w:r w:rsidRPr="003807E1">
              <w:t>Business</w:t>
            </w:r>
            <w:proofErr w:type="spellEnd"/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2C61" w:rsidRPr="00856B60" w:rsidRDefault="00442C61" w:rsidP="00654BD5">
            <w:pPr>
              <w:pStyle w:val="Default"/>
              <w:jc w:val="center"/>
              <w:rPr>
                <w:b/>
              </w:rPr>
            </w:pPr>
            <w:r w:rsidRPr="00856B60">
              <w:rPr>
                <w:b/>
                <w:bCs/>
                <w:color w:val="auto"/>
              </w:rPr>
              <w:t xml:space="preserve">2.90 BYN </w:t>
            </w:r>
            <w:r w:rsidRPr="00856B60">
              <w:rPr>
                <w:b/>
                <w:bCs/>
              </w:rPr>
              <w:t>ежемесячно 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C61" w:rsidRPr="003807E1" w:rsidRDefault="00442C61" w:rsidP="00654BD5">
            <w:pPr>
              <w:pStyle w:val="Default"/>
              <w:jc w:val="both"/>
            </w:pPr>
            <w:r w:rsidRPr="003807E1">
              <w:t>Списание платы со счетов в USD, EUR или RUB осуществляется по курсу Национального банка Республики Беларусь на день взимания платы.</w:t>
            </w:r>
          </w:p>
        </w:tc>
      </w:tr>
    </w:tbl>
    <w:p w:rsidR="00442C61" w:rsidRPr="003807E1" w:rsidRDefault="00442C61" w:rsidP="00442C61">
      <w:pPr>
        <w:ind w:left="1069"/>
        <w:jc w:val="right"/>
        <w:rPr>
          <w:sz w:val="28"/>
          <w:szCs w:val="28"/>
        </w:rPr>
      </w:pPr>
      <w:r w:rsidRPr="00834EE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43739" w:rsidRPr="00834EE5" w:rsidRDefault="00725D9F" w:rsidP="0080324F">
      <w:pPr>
        <w:pStyle w:val="a3"/>
        <w:tabs>
          <w:tab w:val="left" w:pos="1134"/>
        </w:tabs>
        <w:ind w:left="710" w:right="-108" w:firstLine="0"/>
        <w:jc w:val="both"/>
        <w:rPr>
          <w:rFonts w:eastAsia="Calibri"/>
          <w:szCs w:val="28"/>
          <w:lang w:eastAsia="en-US"/>
        </w:rPr>
      </w:pPr>
      <w:r w:rsidRPr="00834EE5">
        <w:rPr>
          <w:szCs w:val="28"/>
        </w:rPr>
        <w:t>2.</w:t>
      </w:r>
      <w:r w:rsidRPr="00834EE5">
        <w:rPr>
          <w:rFonts w:eastAsia="Calibri"/>
          <w:szCs w:val="28"/>
          <w:lang w:eastAsia="en-US"/>
        </w:rPr>
        <w:t xml:space="preserve"> Настоящее Дополнение вступает </w:t>
      </w:r>
      <w:r w:rsidR="00243739" w:rsidRPr="00834EE5">
        <w:rPr>
          <w:rFonts w:eastAsia="Calibri"/>
          <w:szCs w:val="28"/>
          <w:lang w:eastAsia="en-US"/>
        </w:rPr>
        <w:t xml:space="preserve">в силу </w:t>
      </w:r>
      <w:r w:rsidR="0080324F" w:rsidRPr="0080324F">
        <w:rPr>
          <w:rFonts w:eastAsia="Calibri"/>
          <w:szCs w:val="28"/>
          <w:lang w:eastAsia="en-US"/>
        </w:rPr>
        <w:t>01</w:t>
      </w:r>
      <w:r w:rsidR="00243739" w:rsidRPr="00834EE5">
        <w:rPr>
          <w:rFonts w:eastAsia="Calibri"/>
          <w:szCs w:val="28"/>
          <w:lang w:eastAsia="en-US"/>
        </w:rPr>
        <w:t>.</w:t>
      </w:r>
      <w:r w:rsidR="0080324F" w:rsidRPr="0080324F">
        <w:rPr>
          <w:rFonts w:eastAsia="Calibri"/>
          <w:szCs w:val="28"/>
          <w:lang w:eastAsia="en-US"/>
        </w:rPr>
        <w:t>10</w:t>
      </w:r>
      <w:r w:rsidR="00243739" w:rsidRPr="00834EE5">
        <w:rPr>
          <w:rFonts w:eastAsia="Calibri"/>
          <w:szCs w:val="28"/>
          <w:lang w:eastAsia="en-US"/>
        </w:rPr>
        <w:t>.2017.</w:t>
      </w:r>
    </w:p>
    <w:p w:rsidR="00243739" w:rsidRPr="00126A01" w:rsidRDefault="00243739" w:rsidP="00CB6D3E">
      <w:pPr>
        <w:pStyle w:val="a3"/>
        <w:tabs>
          <w:tab w:val="left" w:pos="0"/>
        </w:tabs>
        <w:ind w:left="0" w:firstLine="758"/>
        <w:jc w:val="both"/>
        <w:rPr>
          <w:szCs w:val="28"/>
        </w:rPr>
      </w:pPr>
    </w:p>
    <w:p w:rsidR="00746894" w:rsidRPr="00126A01" w:rsidRDefault="00746894" w:rsidP="00CB6D3E">
      <w:pPr>
        <w:pStyle w:val="a3"/>
        <w:tabs>
          <w:tab w:val="left" w:pos="0"/>
        </w:tabs>
        <w:ind w:left="0" w:firstLine="758"/>
        <w:jc w:val="both"/>
        <w:rPr>
          <w:szCs w:val="28"/>
        </w:rPr>
      </w:pPr>
    </w:p>
    <w:tbl>
      <w:tblPr>
        <w:tblW w:w="14600" w:type="dxa"/>
        <w:tblInd w:w="108" w:type="dxa"/>
        <w:tblLook w:val="01E0" w:firstRow="1" w:lastRow="1" w:firstColumn="1" w:lastColumn="1" w:noHBand="0" w:noVBand="0"/>
      </w:tblPr>
      <w:tblGrid>
        <w:gridCol w:w="8810"/>
        <w:gridCol w:w="5790"/>
      </w:tblGrid>
      <w:tr w:rsidR="00834EE5" w:rsidRPr="00834EE5" w:rsidTr="00976BAC">
        <w:trPr>
          <w:trHeight w:val="490"/>
        </w:trPr>
        <w:tc>
          <w:tcPr>
            <w:tcW w:w="8810" w:type="dxa"/>
          </w:tcPr>
          <w:p w:rsidR="00CB6D3E" w:rsidRPr="00834EE5" w:rsidRDefault="00CB6D3E" w:rsidP="00834EE5">
            <w:pPr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90" w:type="dxa"/>
            <w:vAlign w:val="bottom"/>
          </w:tcPr>
          <w:p w:rsidR="00CB6D3E" w:rsidRPr="00834EE5" w:rsidRDefault="00CB6D3E" w:rsidP="00834EE5">
            <w:pPr>
              <w:tabs>
                <w:tab w:val="left" w:pos="3840"/>
                <w:tab w:val="left" w:pos="3981"/>
                <w:tab w:val="left" w:pos="426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31B17" w:rsidRPr="00834EE5" w:rsidRDefault="00A31B17" w:rsidP="00834EE5">
      <w:pPr>
        <w:pStyle w:val="a3"/>
        <w:tabs>
          <w:tab w:val="left" w:pos="0"/>
        </w:tabs>
        <w:ind w:left="0" w:firstLine="0"/>
        <w:rPr>
          <w:szCs w:val="28"/>
        </w:rPr>
      </w:pPr>
    </w:p>
    <w:sectPr w:rsidR="00A31B17" w:rsidRPr="00834EE5" w:rsidSect="00737B51">
      <w:headerReference w:type="even" r:id="rId9"/>
      <w:headerReference w:type="default" r:id="rId10"/>
      <w:pgSz w:w="16838" w:h="11906" w:orient="landscape" w:code="9"/>
      <w:pgMar w:top="567" w:right="454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BD8" w:rsidRDefault="00C26BD8" w:rsidP="00E668E4">
      <w:r>
        <w:separator/>
      </w:r>
    </w:p>
  </w:endnote>
  <w:endnote w:type="continuationSeparator" w:id="0">
    <w:p w:rsidR="00C26BD8" w:rsidRDefault="00C26BD8" w:rsidP="00E6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BD8" w:rsidRDefault="00C26BD8" w:rsidP="00E668E4">
      <w:r>
        <w:separator/>
      </w:r>
    </w:p>
  </w:footnote>
  <w:footnote w:type="continuationSeparator" w:id="0">
    <w:p w:rsidR="00C26BD8" w:rsidRDefault="00C26BD8" w:rsidP="00E66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E5" w:rsidRDefault="00834EE5" w:rsidP="007A394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34EE5" w:rsidRDefault="00834E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756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34EE5" w:rsidRPr="0017492A" w:rsidRDefault="00834EE5">
        <w:pPr>
          <w:pStyle w:val="a6"/>
          <w:jc w:val="center"/>
          <w:rPr>
            <w:sz w:val="28"/>
            <w:szCs w:val="28"/>
          </w:rPr>
        </w:pPr>
        <w:r w:rsidRPr="0017492A">
          <w:rPr>
            <w:sz w:val="28"/>
            <w:szCs w:val="28"/>
          </w:rPr>
          <w:fldChar w:fldCharType="begin"/>
        </w:r>
        <w:r w:rsidRPr="0017492A">
          <w:rPr>
            <w:sz w:val="28"/>
            <w:szCs w:val="28"/>
          </w:rPr>
          <w:instrText>PAGE   \* MERGEFORMAT</w:instrText>
        </w:r>
        <w:r w:rsidRPr="0017492A">
          <w:rPr>
            <w:sz w:val="28"/>
            <w:szCs w:val="28"/>
          </w:rPr>
          <w:fldChar w:fldCharType="separate"/>
        </w:r>
        <w:r w:rsidR="00880F15">
          <w:rPr>
            <w:noProof/>
            <w:sz w:val="28"/>
            <w:szCs w:val="28"/>
          </w:rPr>
          <w:t>2</w:t>
        </w:r>
        <w:r w:rsidRPr="0017492A">
          <w:rPr>
            <w:sz w:val="28"/>
            <w:szCs w:val="28"/>
          </w:rPr>
          <w:fldChar w:fldCharType="end"/>
        </w:r>
      </w:p>
    </w:sdtContent>
  </w:sdt>
  <w:p w:rsidR="00834EE5" w:rsidRDefault="00834E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362A"/>
    <w:multiLevelType w:val="multilevel"/>
    <w:tmpl w:val="DF4CF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F9828EF"/>
    <w:multiLevelType w:val="multilevel"/>
    <w:tmpl w:val="DF4CF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DC441D9"/>
    <w:multiLevelType w:val="hybridMultilevel"/>
    <w:tmpl w:val="9E42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029AB"/>
    <w:multiLevelType w:val="hybridMultilevel"/>
    <w:tmpl w:val="1A2E98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D5"/>
    <w:rsid w:val="000027EE"/>
    <w:rsid w:val="00006551"/>
    <w:rsid w:val="00006A1F"/>
    <w:rsid w:val="00010890"/>
    <w:rsid w:val="000121DC"/>
    <w:rsid w:val="00013E9B"/>
    <w:rsid w:val="000155FF"/>
    <w:rsid w:val="00015FCD"/>
    <w:rsid w:val="00016A3A"/>
    <w:rsid w:val="00017CEB"/>
    <w:rsid w:val="00022C45"/>
    <w:rsid w:val="00024707"/>
    <w:rsid w:val="00025A05"/>
    <w:rsid w:val="00033B90"/>
    <w:rsid w:val="00034694"/>
    <w:rsid w:val="000374C9"/>
    <w:rsid w:val="00037ECA"/>
    <w:rsid w:val="0004101F"/>
    <w:rsid w:val="000411ED"/>
    <w:rsid w:val="000439D9"/>
    <w:rsid w:val="000456DD"/>
    <w:rsid w:val="00045B17"/>
    <w:rsid w:val="00046F01"/>
    <w:rsid w:val="00047685"/>
    <w:rsid w:val="00050595"/>
    <w:rsid w:val="000517CA"/>
    <w:rsid w:val="00053641"/>
    <w:rsid w:val="0005390A"/>
    <w:rsid w:val="00054702"/>
    <w:rsid w:val="00060005"/>
    <w:rsid w:val="000621A7"/>
    <w:rsid w:val="00062755"/>
    <w:rsid w:val="000635FA"/>
    <w:rsid w:val="00071953"/>
    <w:rsid w:val="000742F4"/>
    <w:rsid w:val="00075716"/>
    <w:rsid w:val="000760B4"/>
    <w:rsid w:val="0007732A"/>
    <w:rsid w:val="00077BB2"/>
    <w:rsid w:val="00080001"/>
    <w:rsid w:val="000808B0"/>
    <w:rsid w:val="000810DD"/>
    <w:rsid w:val="00081C92"/>
    <w:rsid w:val="00082070"/>
    <w:rsid w:val="00082677"/>
    <w:rsid w:val="00083119"/>
    <w:rsid w:val="0008362B"/>
    <w:rsid w:val="00090C7F"/>
    <w:rsid w:val="00093F2A"/>
    <w:rsid w:val="0009497D"/>
    <w:rsid w:val="000962D6"/>
    <w:rsid w:val="0009690D"/>
    <w:rsid w:val="00097D59"/>
    <w:rsid w:val="000A05C6"/>
    <w:rsid w:val="000A3289"/>
    <w:rsid w:val="000A42CC"/>
    <w:rsid w:val="000A4D7E"/>
    <w:rsid w:val="000A6259"/>
    <w:rsid w:val="000A7D40"/>
    <w:rsid w:val="000B1A75"/>
    <w:rsid w:val="000B1C76"/>
    <w:rsid w:val="000B36E9"/>
    <w:rsid w:val="000B3EB5"/>
    <w:rsid w:val="000B3FE0"/>
    <w:rsid w:val="000B6975"/>
    <w:rsid w:val="000B741D"/>
    <w:rsid w:val="000C204B"/>
    <w:rsid w:val="000C3A03"/>
    <w:rsid w:val="000C3DF6"/>
    <w:rsid w:val="000C56CD"/>
    <w:rsid w:val="000C5982"/>
    <w:rsid w:val="000C6C18"/>
    <w:rsid w:val="000D2E78"/>
    <w:rsid w:val="000D55BA"/>
    <w:rsid w:val="000D59D1"/>
    <w:rsid w:val="000D5C74"/>
    <w:rsid w:val="000D7269"/>
    <w:rsid w:val="000D7E43"/>
    <w:rsid w:val="000E056B"/>
    <w:rsid w:val="000E2573"/>
    <w:rsid w:val="000E34A0"/>
    <w:rsid w:val="000E528A"/>
    <w:rsid w:val="000E5312"/>
    <w:rsid w:val="000F1A1A"/>
    <w:rsid w:val="000F2191"/>
    <w:rsid w:val="000F2BF0"/>
    <w:rsid w:val="000F3109"/>
    <w:rsid w:val="000F4032"/>
    <w:rsid w:val="000F4929"/>
    <w:rsid w:val="000F57B5"/>
    <w:rsid w:val="000F5E19"/>
    <w:rsid w:val="000F7167"/>
    <w:rsid w:val="00101269"/>
    <w:rsid w:val="0010331E"/>
    <w:rsid w:val="00104385"/>
    <w:rsid w:val="00104AD6"/>
    <w:rsid w:val="00104ED4"/>
    <w:rsid w:val="00110314"/>
    <w:rsid w:val="00113BE5"/>
    <w:rsid w:val="00114475"/>
    <w:rsid w:val="00114DA3"/>
    <w:rsid w:val="00116C81"/>
    <w:rsid w:val="001228AB"/>
    <w:rsid w:val="00123098"/>
    <w:rsid w:val="0012478F"/>
    <w:rsid w:val="001253F8"/>
    <w:rsid w:val="001257E5"/>
    <w:rsid w:val="00126A01"/>
    <w:rsid w:val="001271F9"/>
    <w:rsid w:val="00130423"/>
    <w:rsid w:val="00130988"/>
    <w:rsid w:val="00130CCC"/>
    <w:rsid w:val="00131002"/>
    <w:rsid w:val="0013209B"/>
    <w:rsid w:val="001327B5"/>
    <w:rsid w:val="001340D8"/>
    <w:rsid w:val="00140B03"/>
    <w:rsid w:val="001419D7"/>
    <w:rsid w:val="00144A71"/>
    <w:rsid w:val="001506CD"/>
    <w:rsid w:val="001515AF"/>
    <w:rsid w:val="001518D2"/>
    <w:rsid w:val="00151B98"/>
    <w:rsid w:val="00151FF3"/>
    <w:rsid w:val="00153802"/>
    <w:rsid w:val="00153A37"/>
    <w:rsid w:val="001563B2"/>
    <w:rsid w:val="001569FE"/>
    <w:rsid w:val="00161C7C"/>
    <w:rsid w:val="00162397"/>
    <w:rsid w:val="00162FEA"/>
    <w:rsid w:val="00164902"/>
    <w:rsid w:val="00166972"/>
    <w:rsid w:val="001670C7"/>
    <w:rsid w:val="0016728F"/>
    <w:rsid w:val="001674B9"/>
    <w:rsid w:val="0016790E"/>
    <w:rsid w:val="00167A07"/>
    <w:rsid w:val="00167AA0"/>
    <w:rsid w:val="00167D9B"/>
    <w:rsid w:val="00171621"/>
    <w:rsid w:val="0017492A"/>
    <w:rsid w:val="00174CD8"/>
    <w:rsid w:val="00175B8A"/>
    <w:rsid w:val="00176991"/>
    <w:rsid w:val="001808C4"/>
    <w:rsid w:val="001814DC"/>
    <w:rsid w:val="00183AED"/>
    <w:rsid w:val="00184687"/>
    <w:rsid w:val="00185362"/>
    <w:rsid w:val="001853A3"/>
    <w:rsid w:val="00191362"/>
    <w:rsid w:val="001935A6"/>
    <w:rsid w:val="00196090"/>
    <w:rsid w:val="00196572"/>
    <w:rsid w:val="00197A00"/>
    <w:rsid w:val="001A08A5"/>
    <w:rsid w:val="001A26F4"/>
    <w:rsid w:val="001A2935"/>
    <w:rsid w:val="001A2F1A"/>
    <w:rsid w:val="001A3EB9"/>
    <w:rsid w:val="001A6847"/>
    <w:rsid w:val="001B1AF5"/>
    <w:rsid w:val="001B3090"/>
    <w:rsid w:val="001B4175"/>
    <w:rsid w:val="001B6B29"/>
    <w:rsid w:val="001B758B"/>
    <w:rsid w:val="001C1E2F"/>
    <w:rsid w:val="001C1FD1"/>
    <w:rsid w:val="001C3CF7"/>
    <w:rsid w:val="001C43E3"/>
    <w:rsid w:val="001C5E72"/>
    <w:rsid w:val="001C6738"/>
    <w:rsid w:val="001C708F"/>
    <w:rsid w:val="001D0752"/>
    <w:rsid w:val="001D6D6E"/>
    <w:rsid w:val="001D70D8"/>
    <w:rsid w:val="001D7175"/>
    <w:rsid w:val="001E0625"/>
    <w:rsid w:val="001E142F"/>
    <w:rsid w:val="001E1F83"/>
    <w:rsid w:val="001E2BF6"/>
    <w:rsid w:val="001E53FE"/>
    <w:rsid w:val="001E5648"/>
    <w:rsid w:val="001E5934"/>
    <w:rsid w:val="001E61E8"/>
    <w:rsid w:val="001F0231"/>
    <w:rsid w:val="001F49DB"/>
    <w:rsid w:val="002004B0"/>
    <w:rsid w:val="002029CB"/>
    <w:rsid w:val="002037E7"/>
    <w:rsid w:val="00203F22"/>
    <w:rsid w:val="002043AF"/>
    <w:rsid w:val="00204F6D"/>
    <w:rsid w:val="002053AE"/>
    <w:rsid w:val="0020610A"/>
    <w:rsid w:val="002077FB"/>
    <w:rsid w:val="002078AA"/>
    <w:rsid w:val="0021106F"/>
    <w:rsid w:val="00215378"/>
    <w:rsid w:val="00217E1E"/>
    <w:rsid w:val="00220E10"/>
    <w:rsid w:val="00221CBB"/>
    <w:rsid w:val="0022423C"/>
    <w:rsid w:val="00227889"/>
    <w:rsid w:val="00227BFB"/>
    <w:rsid w:val="00230323"/>
    <w:rsid w:val="00231741"/>
    <w:rsid w:val="002334B8"/>
    <w:rsid w:val="00235628"/>
    <w:rsid w:val="0023632C"/>
    <w:rsid w:val="00236D24"/>
    <w:rsid w:val="002414EF"/>
    <w:rsid w:val="00241D75"/>
    <w:rsid w:val="00243739"/>
    <w:rsid w:val="00243BED"/>
    <w:rsid w:val="00256E02"/>
    <w:rsid w:val="00257A53"/>
    <w:rsid w:val="00257B87"/>
    <w:rsid w:val="002608E8"/>
    <w:rsid w:val="00264D6C"/>
    <w:rsid w:val="00265792"/>
    <w:rsid w:val="00265A29"/>
    <w:rsid w:val="002678D5"/>
    <w:rsid w:val="00267CEA"/>
    <w:rsid w:val="00270AAB"/>
    <w:rsid w:val="00271076"/>
    <w:rsid w:val="0027188A"/>
    <w:rsid w:val="00273D41"/>
    <w:rsid w:val="00273DB6"/>
    <w:rsid w:val="00275A6B"/>
    <w:rsid w:val="00281C7A"/>
    <w:rsid w:val="00282E31"/>
    <w:rsid w:val="002843C3"/>
    <w:rsid w:val="00285808"/>
    <w:rsid w:val="00285EF1"/>
    <w:rsid w:val="00290901"/>
    <w:rsid w:val="00293304"/>
    <w:rsid w:val="002979EA"/>
    <w:rsid w:val="002A0655"/>
    <w:rsid w:val="002A08D4"/>
    <w:rsid w:val="002A39D6"/>
    <w:rsid w:val="002A621D"/>
    <w:rsid w:val="002A69DA"/>
    <w:rsid w:val="002A6B47"/>
    <w:rsid w:val="002A7564"/>
    <w:rsid w:val="002A79DA"/>
    <w:rsid w:val="002A7E70"/>
    <w:rsid w:val="002B08A0"/>
    <w:rsid w:val="002B57E6"/>
    <w:rsid w:val="002C252C"/>
    <w:rsid w:val="002C3551"/>
    <w:rsid w:val="002C4FD0"/>
    <w:rsid w:val="002C56A6"/>
    <w:rsid w:val="002C68AD"/>
    <w:rsid w:val="002D1917"/>
    <w:rsid w:val="002D454D"/>
    <w:rsid w:val="002D4F7C"/>
    <w:rsid w:val="002E081A"/>
    <w:rsid w:val="002E312B"/>
    <w:rsid w:val="002E4D2F"/>
    <w:rsid w:val="002E4E1F"/>
    <w:rsid w:val="002E4F1F"/>
    <w:rsid w:val="002E4FAB"/>
    <w:rsid w:val="002E502B"/>
    <w:rsid w:val="002E5C92"/>
    <w:rsid w:val="002E76C0"/>
    <w:rsid w:val="002F1303"/>
    <w:rsid w:val="002F3652"/>
    <w:rsid w:val="002F3B93"/>
    <w:rsid w:val="002F6D25"/>
    <w:rsid w:val="002F6F14"/>
    <w:rsid w:val="003011EE"/>
    <w:rsid w:val="00304F21"/>
    <w:rsid w:val="00306166"/>
    <w:rsid w:val="00307D36"/>
    <w:rsid w:val="00311E75"/>
    <w:rsid w:val="00312D11"/>
    <w:rsid w:val="003132B2"/>
    <w:rsid w:val="003139C6"/>
    <w:rsid w:val="00316599"/>
    <w:rsid w:val="00321FC8"/>
    <w:rsid w:val="003227F3"/>
    <w:rsid w:val="003260F2"/>
    <w:rsid w:val="003310AA"/>
    <w:rsid w:val="0033112C"/>
    <w:rsid w:val="0033501C"/>
    <w:rsid w:val="0033646B"/>
    <w:rsid w:val="00341BC1"/>
    <w:rsid w:val="00341D98"/>
    <w:rsid w:val="00344440"/>
    <w:rsid w:val="00351343"/>
    <w:rsid w:val="00355DEC"/>
    <w:rsid w:val="0035697F"/>
    <w:rsid w:val="00357AFA"/>
    <w:rsid w:val="003602B6"/>
    <w:rsid w:val="00360DE6"/>
    <w:rsid w:val="00361EA9"/>
    <w:rsid w:val="00362B19"/>
    <w:rsid w:val="00362FC9"/>
    <w:rsid w:val="003645C6"/>
    <w:rsid w:val="00365414"/>
    <w:rsid w:val="00365DCA"/>
    <w:rsid w:val="00365FAB"/>
    <w:rsid w:val="00367DA9"/>
    <w:rsid w:val="00370152"/>
    <w:rsid w:val="0037056A"/>
    <w:rsid w:val="00370AB5"/>
    <w:rsid w:val="00370ED5"/>
    <w:rsid w:val="0037297C"/>
    <w:rsid w:val="003764D6"/>
    <w:rsid w:val="00383684"/>
    <w:rsid w:val="00387E30"/>
    <w:rsid w:val="00390482"/>
    <w:rsid w:val="0039197B"/>
    <w:rsid w:val="0039247F"/>
    <w:rsid w:val="00392E67"/>
    <w:rsid w:val="00392F0A"/>
    <w:rsid w:val="003A171B"/>
    <w:rsid w:val="003A1844"/>
    <w:rsid w:val="003A20A0"/>
    <w:rsid w:val="003A4D1D"/>
    <w:rsid w:val="003A57C1"/>
    <w:rsid w:val="003A5DE1"/>
    <w:rsid w:val="003A6C72"/>
    <w:rsid w:val="003A760A"/>
    <w:rsid w:val="003A7DB2"/>
    <w:rsid w:val="003B0FB8"/>
    <w:rsid w:val="003B1595"/>
    <w:rsid w:val="003B5AB8"/>
    <w:rsid w:val="003B683F"/>
    <w:rsid w:val="003C1A95"/>
    <w:rsid w:val="003C2A2D"/>
    <w:rsid w:val="003C3D8F"/>
    <w:rsid w:val="003C47CC"/>
    <w:rsid w:val="003C4DC6"/>
    <w:rsid w:val="003D14D5"/>
    <w:rsid w:val="003D4275"/>
    <w:rsid w:val="003E14B3"/>
    <w:rsid w:val="003E4686"/>
    <w:rsid w:val="003E67B2"/>
    <w:rsid w:val="003F16A4"/>
    <w:rsid w:val="003F20CF"/>
    <w:rsid w:val="003F3F32"/>
    <w:rsid w:val="003F670F"/>
    <w:rsid w:val="00400758"/>
    <w:rsid w:val="004026F6"/>
    <w:rsid w:val="004027E9"/>
    <w:rsid w:val="0041075E"/>
    <w:rsid w:val="00412069"/>
    <w:rsid w:val="00413F8D"/>
    <w:rsid w:val="004145A5"/>
    <w:rsid w:val="00414995"/>
    <w:rsid w:val="004151A5"/>
    <w:rsid w:val="00417CF6"/>
    <w:rsid w:val="004200C6"/>
    <w:rsid w:val="00420B72"/>
    <w:rsid w:val="004227AA"/>
    <w:rsid w:val="004231C5"/>
    <w:rsid w:val="00433D35"/>
    <w:rsid w:val="004350E4"/>
    <w:rsid w:val="0043527D"/>
    <w:rsid w:val="00441367"/>
    <w:rsid w:val="00442C61"/>
    <w:rsid w:val="00443555"/>
    <w:rsid w:val="004441F0"/>
    <w:rsid w:val="004465F0"/>
    <w:rsid w:val="00447891"/>
    <w:rsid w:val="00447CA6"/>
    <w:rsid w:val="00447DB8"/>
    <w:rsid w:val="00455213"/>
    <w:rsid w:val="0045643E"/>
    <w:rsid w:val="0045653E"/>
    <w:rsid w:val="004608A6"/>
    <w:rsid w:val="00461A21"/>
    <w:rsid w:val="00462842"/>
    <w:rsid w:val="0046349C"/>
    <w:rsid w:val="00463A13"/>
    <w:rsid w:val="004644F0"/>
    <w:rsid w:val="00464C21"/>
    <w:rsid w:val="0047109F"/>
    <w:rsid w:val="00472038"/>
    <w:rsid w:val="00472B7B"/>
    <w:rsid w:val="00476A35"/>
    <w:rsid w:val="00480076"/>
    <w:rsid w:val="00483214"/>
    <w:rsid w:val="004836DA"/>
    <w:rsid w:val="00484680"/>
    <w:rsid w:val="00487AC6"/>
    <w:rsid w:val="00490E63"/>
    <w:rsid w:val="0049114B"/>
    <w:rsid w:val="0049321D"/>
    <w:rsid w:val="00493983"/>
    <w:rsid w:val="00494914"/>
    <w:rsid w:val="00496AF7"/>
    <w:rsid w:val="004A0FD5"/>
    <w:rsid w:val="004A2586"/>
    <w:rsid w:val="004A25E8"/>
    <w:rsid w:val="004A274A"/>
    <w:rsid w:val="004A556A"/>
    <w:rsid w:val="004B0A96"/>
    <w:rsid w:val="004B0DCE"/>
    <w:rsid w:val="004B1A1A"/>
    <w:rsid w:val="004B2039"/>
    <w:rsid w:val="004B2749"/>
    <w:rsid w:val="004B5E34"/>
    <w:rsid w:val="004C1985"/>
    <w:rsid w:val="004C4522"/>
    <w:rsid w:val="004C4D12"/>
    <w:rsid w:val="004C55AC"/>
    <w:rsid w:val="004C5C70"/>
    <w:rsid w:val="004C5F49"/>
    <w:rsid w:val="004C656A"/>
    <w:rsid w:val="004C677B"/>
    <w:rsid w:val="004C6AC2"/>
    <w:rsid w:val="004D0E7C"/>
    <w:rsid w:val="004D0EC0"/>
    <w:rsid w:val="004D4A6C"/>
    <w:rsid w:val="004D6E6F"/>
    <w:rsid w:val="004D6F56"/>
    <w:rsid w:val="004E03AE"/>
    <w:rsid w:val="004E51B0"/>
    <w:rsid w:val="004E521D"/>
    <w:rsid w:val="004E727A"/>
    <w:rsid w:val="004F4976"/>
    <w:rsid w:val="004F5785"/>
    <w:rsid w:val="004F5C2E"/>
    <w:rsid w:val="004F6B37"/>
    <w:rsid w:val="004F7787"/>
    <w:rsid w:val="00501A9D"/>
    <w:rsid w:val="005065A9"/>
    <w:rsid w:val="005067A0"/>
    <w:rsid w:val="005108CE"/>
    <w:rsid w:val="0051177C"/>
    <w:rsid w:val="005119E3"/>
    <w:rsid w:val="0051683E"/>
    <w:rsid w:val="00517231"/>
    <w:rsid w:val="00517F21"/>
    <w:rsid w:val="0052011B"/>
    <w:rsid w:val="00521A1B"/>
    <w:rsid w:val="005244A8"/>
    <w:rsid w:val="00524D90"/>
    <w:rsid w:val="005251DF"/>
    <w:rsid w:val="005268AF"/>
    <w:rsid w:val="00530199"/>
    <w:rsid w:val="00530D95"/>
    <w:rsid w:val="00531AED"/>
    <w:rsid w:val="005327D8"/>
    <w:rsid w:val="00535B2D"/>
    <w:rsid w:val="0053634B"/>
    <w:rsid w:val="0054373B"/>
    <w:rsid w:val="00543C1B"/>
    <w:rsid w:val="00547604"/>
    <w:rsid w:val="0054787B"/>
    <w:rsid w:val="005521C0"/>
    <w:rsid w:val="00552498"/>
    <w:rsid w:val="005552B5"/>
    <w:rsid w:val="00555686"/>
    <w:rsid w:val="00556C07"/>
    <w:rsid w:val="00557E73"/>
    <w:rsid w:val="00560780"/>
    <w:rsid w:val="00560EB1"/>
    <w:rsid w:val="00561544"/>
    <w:rsid w:val="00563442"/>
    <w:rsid w:val="00563491"/>
    <w:rsid w:val="00563945"/>
    <w:rsid w:val="00567C47"/>
    <w:rsid w:val="00570043"/>
    <w:rsid w:val="005721F9"/>
    <w:rsid w:val="005734AD"/>
    <w:rsid w:val="00576C8F"/>
    <w:rsid w:val="00577902"/>
    <w:rsid w:val="005844B1"/>
    <w:rsid w:val="00585C51"/>
    <w:rsid w:val="00586430"/>
    <w:rsid w:val="00587500"/>
    <w:rsid w:val="00587746"/>
    <w:rsid w:val="005918C2"/>
    <w:rsid w:val="00591A0C"/>
    <w:rsid w:val="00593597"/>
    <w:rsid w:val="005972FB"/>
    <w:rsid w:val="005A2A04"/>
    <w:rsid w:val="005A4227"/>
    <w:rsid w:val="005A6BC2"/>
    <w:rsid w:val="005B3618"/>
    <w:rsid w:val="005B3642"/>
    <w:rsid w:val="005B7B4C"/>
    <w:rsid w:val="005C1A7D"/>
    <w:rsid w:val="005C2510"/>
    <w:rsid w:val="005C27CC"/>
    <w:rsid w:val="005C35D9"/>
    <w:rsid w:val="005C3B82"/>
    <w:rsid w:val="005C3E16"/>
    <w:rsid w:val="005C4252"/>
    <w:rsid w:val="005D1EE4"/>
    <w:rsid w:val="005D2EC4"/>
    <w:rsid w:val="005D63F8"/>
    <w:rsid w:val="005D7306"/>
    <w:rsid w:val="005D76B2"/>
    <w:rsid w:val="005E2429"/>
    <w:rsid w:val="005E2EEE"/>
    <w:rsid w:val="005E50FD"/>
    <w:rsid w:val="005E5E35"/>
    <w:rsid w:val="005E6909"/>
    <w:rsid w:val="005F1F86"/>
    <w:rsid w:val="005F4485"/>
    <w:rsid w:val="005F73D2"/>
    <w:rsid w:val="0060033F"/>
    <w:rsid w:val="006009CD"/>
    <w:rsid w:val="00601117"/>
    <w:rsid w:val="00601C32"/>
    <w:rsid w:val="00602BF7"/>
    <w:rsid w:val="006030F4"/>
    <w:rsid w:val="0060429C"/>
    <w:rsid w:val="006070AC"/>
    <w:rsid w:val="00611C0D"/>
    <w:rsid w:val="00612A9F"/>
    <w:rsid w:val="0061305A"/>
    <w:rsid w:val="00613C27"/>
    <w:rsid w:val="006213B4"/>
    <w:rsid w:val="0062401A"/>
    <w:rsid w:val="00625200"/>
    <w:rsid w:val="006267EE"/>
    <w:rsid w:val="00633090"/>
    <w:rsid w:val="00637E4E"/>
    <w:rsid w:val="00641296"/>
    <w:rsid w:val="00641547"/>
    <w:rsid w:val="00642CF8"/>
    <w:rsid w:val="00642D35"/>
    <w:rsid w:val="0064490F"/>
    <w:rsid w:val="00644CB1"/>
    <w:rsid w:val="00651FEC"/>
    <w:rsid w:val="006525C3"/>
    <w:rsid w:val="006554FB"/>
    <w:rsid w:val="006620B3"/>
    <w:rsid w:val="00662354"/>
    <w:rsid w:val="00662525"/>
    <w:rsid w:val="00672C74"/>
    <w:rsid w:val="00673AB1"/>
    <w:rsid w:val="006741DE"/>
    <w:rsid w:val="00674490"/>
    <w:rsid w:val="006766B9"/>
    <w:rsid w:val="00680993"/>
    <w:rsid w:val="006810B4"/>
    <w:rsid w:val="00681691"/>
    <w:rsid w:val="0068312B"/>
    <w:rsid w:val="006834F1"/>
    <w:rsid w:val="006842C9"/>
    <w:rsid w:val="00684B1A"/>
    <w:rsid w:val="0068682D"/>
    <w:rsid w:val="00686ADA"/>
    <w:rsid w:val="00687A03"/>
    <w:rsid w:val="0069215D"/>
    <w:rsid w:val="00693982"/>
    <w:rsid w:val="00695B3D"/>
    <w:rsid w:val="00697954"/>
    <w:rsid w:val="006A214F"/>
    <w:rsid w:val="006A29F5"/>
    <w:rsid w:val="006A4767"/>
    <w:rsid w:val="006A5BE3"/>
    <w:rsid w:val="006A63D6"/>
    <w:rsid w:val="006A7F78"/>
    <w:rsid w:val="006B0E13"/>
    <w:rsid w:val="006B3A9E"/>
    <w:rsid w:val="006B3F4D"/>
    <w:rsid w:val="006B5EDA"/>
    <w:rsid w:val="006C01D8"/>
    <w:rsid w:val="006C060D"/>
    <w:rsid w:val="006C3052"/>
    <w:rsid w:val="006C3E75"/>
    <w:rsid w:val="006C404A"/>
    <w:rsid w:val="006C41E1"/>
    <w:rsid w:val="006C42EB"/>
    <w:rsid w:val="006C4BF9"/>
    <w:rsid w:val="006C4E92"/>
    <w:rsid w:val="006D5682"/>
    <w:rsid w:val="006E05DB"/>
    <w:rsid w:val="006E0DDE"/>
    <w:rsid w:val="006E160E"/>
    <w:rsid w:val="006E2E85"/>
    <w:rsid w:val="006E38F7"/>
    <w:rsid w:val="006E4F89"/>
    <w:rsid w:val="006E5760"/>
    <w:rsid w:val="006F0F8F"/>
    <w:rsid w:val="006F28A0"/>
    <w:rsid w:val="006F61FF"/>
    <w:rsid w:val="006F7B96"/>
    <w:rsid w:val="006F7CE4"/>
    <w:rsid w:val="00701B49"/>
    <w:rsid w:val="007025EE"/>
    <w:rsid w:val="007054A4"/>
    <w:rsid w:val="00706B62"/>
    <w:rsid w:val="00706CFA"/>
    <w:rsid w:val="00707A1F"/>
    <w:rsid w:val="00710362"/>
    <w:rsid w:val="00711D3E"/>
    <w:rsid w:val="00712025"/>
    <w:rsid w:val="00713A11"/>
    <w:rsid w:val="007158FA"/>
    <w:rsid w:val="00717144"/>
    <w:rsid w:val="0071775B"/>
    <w:rsid w:val="00720577"/>
    <w:rsid w:val="00720DB6"/>
    <w:rsid w:val="007224DC"/>
    <w:rsid w:val="00723DF4"/>
    <w:rsid w:val="00724770"/>
    <w:rsid w:val="00725774"/>
    <w:rsid w:val="00725D9F"/>
    <w:rsid w:val="00725FF9"/>
    <w:rsid w:val="00730DD5"/>
    <w:rsid w:val="00732134"/>
    <w:rsid w:val="00736DBE"/>
    <w:rsid w:val="00737B51"/>
    <w:rsid w:val="007402EA"/>
    <w:rsid w:val="00744F7E"/>
    <w:rsid w:val="00746894"/>
    <w:rsid w:val="007619D0"/>
    <w:rsid w:val="00763E55"/>
    <w:rsid w:val="00763ECD"/>
    <w:rsid w:val="00765265"/>
    <w:rsid w:val="007658DD"/>
    <w:rsid w:val="00766890"/>
    <w:rsid w:val="00766D1B"/>
    <w:rsid w:val="00766FF6"/>
    <w:rsid w:val="00767237"/>
    <w:rsid w:val="00767258"/>
    <w:rsid w:val="007749E6"/>
    <w:rsid w:val="00774F42"/>
    <w:rsid w:val="00777014"/>
    <w:rsid w:val="0077740F"/>
    <w:rsid w:val="0077745D"/>
    <w:rsid w:val="00781BD4"/>
    <w:rsid w:val="00781C1D"/>
    <w:rsid w:val="00782360"/>
    <w:rsid w:val="00782C9D"/>
    <w:rsid w:val="0078446D"/>
    <w:rsid w:val="007852F5"/>
    <w:rsid w:val="0078771A"/>
    <w:rsid w:val="00787EC5"/>
    <w:rsid w:val="0079256C"/>
    <w:rsid w:val="0079360E"/>
    <w:rsid w:val="00794745"/>
    <w:rsid w:val="007952B4"/>
    <w:rsid w:val="0079792A"/>
    <w:rsid w:val="007A20B0"/>
    <w:rsid w:val="007A3949"/>
    <w:rsid w:val="007A3C89"/>
    <w:rsid w:val="007A54B7"/>
    <w:rsid w:val="007A5E4E"/>
    <w:rsid w:val="007A6404"/>
    <w:rsid w:val="007A6574"/>
    <w:rsid w:val="007B0CD4"/>
    <w:rsid w:val="007B171F"/>
    <w:rsid w:val="007B205D"/>
    <w:rsid w:val="007B213A"/>
    <w:rsid w:val="007B444E"/>
    <w:rsid w:val="007B5E93"/>
    <w:rsid w:val="007B60E9"/>
    <w:rsid w:val="007C0D15"/>
    <w:rsid w:val="007C2F1A"/>
    <w:rsid w:val="007C3405"/>
    <w:rsid w:val="007C671A"/>
    <w:rsid w:val="007C6C8F"/>
    <w:rsid w:val="007D005E"/>
    <w:rsid w:val="007D0C9A"/>
    <w:rsid w:val="007D2EDD"/>
    <w:rsid w:val="007D3CF7"/>
    <w:rsid w:val="007D706E"/>
    <w:rsid w:val="007E0D25"/>
    <w:rsid w:val="007E50E8"/>
    <w:rsid w:val="007E5FB0"/>
    <w:rsid w:val="007E6616"/>
    <w:rsid w:val="007E6BA2"/>
    <w:rsid w:val="007F0C73"/>
    <w:rsid w:val="007F18F0"/>
    <w:rsid w:val="007F1EDA"/>
    <w:rsid w:val="007F361B"/>
    <w:rsid w:val="007F558F"/>
    <w:rsid w:val="007F5A3C"/>
    <w:rsid w:val="007F6239"/>
    <w:rsid w:val="007F6DD1"/>
    <w:rsid w:val="00801993"/>
    <w:rsid w:val="00802DE0"/>
    <w:rsid w:val="0080324F"/>
    <w:rsid w:val="008037B9"/>
    <w:rsid w:val="0080483A"/>
    <w:rsid w:val="008062F8"/>
    <w:rsid w:val="00806360"/>
    <w:rsid w:val="0080679D"/>
    <w:rsid w:val="00807324"/>
    <w:rsid w:val="008103FD"/>
    <w:rsid w:val="00810B40"/>
    <w:rsid w:val="00813DE3"/>
    <w:rsid w:val="00814781"/>
    <w:rsid w:val="00814B8D"/>
    <w:rsid w:val="00815878"/>
    <w:rsid w:val="0082518B"/>
    <w:rsid w:val="00826ED2"/>
    <w:rsid w:val="00826F7D"/>
    <w:rsid w:val="00831CAB"/>
    <w:rsid w:val="008321CF"/>
    <w:rsid w:val="008333A6"/>
    <w:rsid w:val="00834EE5"/>
    <w:rsid w:val="008363F5"/>
    <w:rsid w:val="00837725"/>
    <w:rsid w:val="00842827"/>
    <w:rsid w:val="0084317E"/>
    <w:rsid w:val="008443AA"/>
    <w:rsid w:val="0084690D"/>
    <w:rsid w:val="00846F95"/>
    <w:rsid w:val="00847B00"/>
    <w:rsid w:val="00853C1D"/>
    <w:rsid w:val="00856B60"/>
    <w:rsid w:val="008636E1"/>
    <w:rsid w:val="00864728"/>
    <w:rsid w:val="008649FE"/>
    <w:rsid w:val="00866674"/>
    <w:rsid w:val="00870543"/>
    <w:rsid w:val="0087349F"/>
    <w:rsid w:val="00880418"/>
    <w:rsid w:val="00880F15"/>
    <w:rsid w:val="00881233"/>
    <w:rsid w:val="0088199F"/>
    <w:rsid w:val="00881E76"/>
    <w:rsid w:val="00891E04"/>
    <w:rsid w:val="00893001"/>
    <w:rsid w:val="00893F5D"/>
    <w:rsid w:val="0089519F"/>
    <w:rsid w:val="00896BDD"/>
    <w:rsid w:val="00897CAC"/>
    <w:rsid w:val="008A1D50"/>
    <w:rsid w:val="008A2109"/>
    <w:rsid w:val="008A5856"/>
    <w:rsid w:val="008A774A"/>
    <w:rsid w:val="008B0711"/>
    <w:rsid w:val="008B19BA"/>
    <w:rsid w:val="008B3544"/>
    <w:rsid w:val="008B37D8"/>
    <w:rsid w:val="008C3BED"/>
    <w:rsid w:val="008C4D13"/>
    <w:rsid w:val="008C7BDD"/>
    <w:rsid w:val="008D44A0"/>
    <w:rsid w:val="008D4D6E"/>
    <w:rsid w:val="008D613B"/>
    <w:rsid w:val="008D6C53"/>
    <w:rsid w:val="008E09AC"/>
    <w:rsid w:val="008E15CF"/>
    <w:rsid w:val="008E3F33"/>
    <w:rsid w:val="008E40F4"/>
    <w:rsid w:val="008E4205"/>
    <w:rsid w:val="008E5B09"/>
    <w:rsid w:val="008E6F9B"/>
    <w:rsid w:val="008E7309"/>
    <w:rsid w:val="008F0668"/>
    <w:rsid w:val="008F09C9"/>
    <w:rsid w:val="008F1F05"/>
    <w:rsid w:val="008F274B"/>
    <w:rsid w:val="008F286C"/>
    <w:rsid w:val="008F3610"/>
    <w:rsid w:val="008F365F"/>
    <w:rsid w:val="008F6A90"/>
    <w:rsid w:val="008F7576"/>
    <w:rsid w:val="009018EC"/>
    <w:rsid w:val="00901F2A"/>
    <w:rsid w:val="00906428"/>
    <w:rsid w:val="00907A47"/>
    <w:rsid w:val="00907EED"/>
    <w:rsid w:val="009108EE"/>
    <w:rsid w:val="0091164D"/>
    <w:rsid w:val="00911939"/>
    <w:rsid w:val="0091204A"/>
    <w:rsid w:val="00912591"/>
    <w:rsid w:val="00922034"/>
    <w:rsid w:val="00923079"/>
    <w:rsid w:val="00923D00"/>
    <w:rsid w:val="009242B2"/>
    <w:rsid w:val="009261C1"/>
    <w:rsid w:val="009272A5"/>
    <w:rsid w:val="00930264"/>
    <w:rsid w:val="00931302"/>
    <w:rsid w:val="00933A12"/>
    <w:rsid w:val="00934BCC"/>
    <w:rsid w:val="0093650C"/>
    <w:rsid w:val="00940CE1"/>
    <w:rsid w:val="0094256F"/>
    <w:rsid w:val="00952005"/>
    <w:rsid w:val="00953692"/>
    <w:rsid w:val="00954957"/>
    <w:rsid w:val="0095504F"/>
    <w:rsid w:val="00956AEC"/>
    <w:rsid w:val="00956F0E"/>
    <w:rsid w:val="00966F4F"/>
    <w:rsid w:val="00967161"/>
    <w:rsid w:val="009709FF"/>
    <w:rsid w:val="00971F28"/>
    <w:rsid w:val="00972DBA"/>
    <w:rsid w:val="00973221"/>
    <w:rsid w:val="009743E6"/>
    <w:rsid w:val="00975437"/>
    <w:rsid w:val="009762D4"/>
    <w:rsid w:val="00976BAC"/>
    <w:rsid w:val="0097784E"/>
    <w:rsid w:val="00990E65"/>
    <w:rsid w:val="00994552"/>
    <w:rsid w:val="00995BE9"/>
    <w:rsid w:val="009A391A"/>
    <w:rsid w:val="009A3B88"/>
    <w:rsid w:val="009A660E"/>
    <w:rsid w:val="009B33DD"/>
    <w:rsid w:val="009B415D"/>
    <w:rsid w:val="009B4AB6"/>
    <w:rsid w:val="009C1BCB"/>
    <w:rsid w:val="009C5004"/>
    <w:rsid w:val="009C6DE1"/>
    <w:rsid w:val="009D06F1"/>
    <w:rsid w:val="009D1199"/>
    <w:rsid w:val="009D2CEE"/>
    <w:rsid w:val="009D34F8"/>
    <w:rsid w:val="009D477E"/>
    <w:rsid w:val="009D6802"/>
    <w:rsid w:val="009E090E"/>
    <w:rsid w:val="009E1AF9"/>
    <w:rsid w:val="009E3106"/>
    <w:rsid w:val="009F1114"/>
    <w:rsid w:val="009F292A"/>
    <w:rsid w:val="009F2C1B"/>
    <w:rsid w:val="009F2FE5"/>
    <w:rsid w:val="009F5FD9"/>
    <w:rsid w:val="009F653D"/>
    <w:rsid w:val="009F7DC0"/>
    <w:rsid w:val="00A003F3"/>
    <w:rsid w:val="00A01A54"/>
    <w:rsid w:val="00A02363"/>
    <w:rsid w:val="00A0546B"/>
    <w:rsid w:val="00A0641F"/>
    <w:rsid w:val="00A12BC0"/>
    <w:rsid w:val="00A13F81"/>
    <w:rsid w:val="00A1430B"/>
    <w:rsid w:val="00A15FCE"/>
    <w:rsid w:val="00A2248D"/>
    <w:rsid w:val="00A235E9"/>
    <w:rsid w:val="00A23B8C"/>
    <w:rsid w:val="00A26DD2"/>
    <w:rsid w:val="00A27CD3"/>
    <w:rsid w:val="00A31B17"/>
    <w:rsid w:val="00A346E5"/>
    <w:rsid w:val="00A34D0B"/>
    <w:rsid w:val="00A35E3F"/>
    <w:rsid w:val="00A37797"/>
    <w:rsid w:val="00A377DB"/>
    <w:rsid w:val="00A40116"/>
    <w:rsid w:val="00A40B1F"/>
    <w:rsid w:val="00A417AB"/>
    <w:rsid w:val="00A41AF7"/>
    <w:rsid w:val="00A4320D"/>
    <w:rsid w:val="00A44497"/>
    <w:rsid w:val="00A450A7"/>
    <w:rsid w:val="00A450C7"/>
    <w:rsid w:val="00A45A57"/>
    <w:rsid w:val="00A46AD0"/>
    <w:rsid w:val="00A47F64"/>
    <w:rsid w:val="00A50484"/>
    <w:rsid w:val="00A52616"/>
    <w:rsid w:val="00A52834"/>
    <w:rsid w:val="00A56738"/>
    <w:rsid w:val="00A568DB"/>
    <w:rsid w:val="00A57DB5"/>
    <w:rsid w:val="00A62F92"/>
    <w:rsid w:val="00A675B5"/>
    <w:rsid w:val="00A67C3D"/>
    <w:rsid w:val="00A738A1"/>
    <w:rsid w:val="00A73C85"/>
    <w:rsid w:val="00A74285"/>
    <w:rsid w:val="00A76327"/>
    <w:rsid w:val="00A80C4F"/>
    <w:rsid w:val="00A80FB0"/>
    <w:rsid w:val="00A80FF0"/>
    <w:rsid w:val="00A816B7"/>
    <w:rsid w:val="00A820C2"/>
    <w:rsid w:val="00A838D0"/>
    <w:rsid w:val="00A87C60"/>
    <w:rsid w:val="00A907B1"/>
    <w:rsid w:val="00A90F15"/>
    <w:rsid w:val="00A9180D"/>
    <w:rsid w:val="00A95830"/>
    <w:rsid w:val="00A95CE0"/>
    <w:rsid w:val="00A95E4B"/>
    <w:rsid w:val="00A97539"/>
    <w:rsid w:val="00AA1444"/>
    <w:rsid w:val="00AA2F17"/>
    <w:rsid w:val="00AA3C19"/>
    <w:rsid w:val="00AA3DDB"/>
    <w:rsid w:val="00AA6B88"/>
    <w:rsid w:val="00AA7D1A"/>
    <w:rsid w:val="00AB0565"/>
    <w:rsid w:val="00AB069D"/>
    <w:rsid w:val="00AB301C"/>
    <w:rsid w:val="00AB503B"/>
    <w:rsid w:val="00AB6815"/>
    <w:rsid w:val="00AB7F34"/>
    <w:rsid w:val="00AC0304"/>
    <w:rsid w:val="00AC1589"/>
    <w:rsid w:val="00AC32DA"/>
    <w:rsid w:val="00AC3923"/>
    <w:rsid w:val="00AC5799"/>
    <w:rsid w:val="00AC662F"/>
    <w:rsid w:val="00AC7659"/>
    <w:rsid w:val="00AD1C4D"/>
    <w:rsid w:val="00AD37E4"/>
    <w:rsid w:val="00AD3B9A"/>
    <w:rsid w:val="00AD7454"/>
    <w:rsid w:val="00AE0D43"/>
    <w:rsid w:val="00AE2EED"/>
    <w:rsid w:val="00AE51C5"/>
    <w:rsid w:val="00AE7FC7"/>
    <w:rsid w:val="00AF12DC"/>
    <w:rsid w:val="00AF3D54"/>
    <w:rsid w:val="00AF5014"/>
    <w:rsid w:val="00AF664F"/>
    <w:rsid w:val="00B00A98"/>
    <w:rsid w:val="00B014FC"/>
    <w:rsid w:val="00B02F05"/>
    <w:rsid w:val="00B036C1"/>
    <w:rsid w:val="00B05569"/>
    <w:rsid w:val="00B06075"/>
    <w:rsid w:val="00B06E58"/>
    <w:rsid w:val="00B07EF7"/>
    <w:rsid w:val="00B1001C"/>
    <w:rsid w:val="00B11062"/>
    <w:rsid w:val="00B117C6"/>
    <w:rsid w:val="00B1477E"/>
    <w:rsid w:val="00B16789"/>
    <w:rsid w:val="00B17846"/>
    <w:rsid w:val="00B26996"/>
    <w:rsid w:val="00B30A31"/>
    <w:rsid w:val="00B30DDD"/>
    <w:rsid w:val="00B3279A"/>
    <w:rsid w:val="00B32B0E"/>
    <w:rsid w:val="00B41630"/>
    <w:rsid w:val="00B442A8"/>
    <w:rsid w:val="00B44ED2"/>
    <w:rsid w:val="00B45B93"/>
    <w:rsid w:val="00B5366A"/>
    <w:rsid w:val="00B543B9"/>
    <w:rsid w:val="00B5452E"/>
    <w:rsid w:val="00B5525B"/>
    <w:rsid w:val="00B56FAD"/>
    <w:rsid w:val="00B576C3"/>
    <w:rsid w:val="00B60213"/>
    <w:rsid w:val="00B6228B"/>
    <w:rsid w:val="00B62D9C"/>
    <w:rsid w:val="00B646A9"/>
    <w:rsid w:val="00B65479"/>
    <w:rsid w:val="00B66EBF"/>
    <w:rsid w:val="00B75427"/>
    <w:rsid w:val="00B77E64"/>
    <w:rsid w:val="00B83356"/>
    <w:rsid w:val="00B837E3"/>
    <w:rsid w:val="00B83EAE"/>
    <w:rsid w:val="00B8499D"/>
    <w:rsid w:val="00B859CA"/>
    <w:rsid w:val="00B8712B"/>
    <w:rsid w:val="00B874BE"/>
    <w:rsid w:val="00B91B11"/>
    <w:rsid w:val="00B9350B"/>
    <w:rsid w:val="00B93689"/>
    <w:rsid w:val="00B945A1"/>
    <w:rsid w:val="00B95398"/>
    <w:rsid w:val="00B97E67"/>
    <w:rsid w:val="00BA18CC"/>
    <w:rsid w:val="00BA3240"/>
    <w:rsid w:val="00BA3C16"/>
    <w:rsid w:val="00BA4C93"/>
    <w:rsid w:val="00BA7242"/>
    <w:rsid w:val="00BB3B38"/>
    <w:rsid w:val="00BB3FC5"/>
    <w:rsid w:val="00BB6766"/>
    <w:rsid w:val="00BB6E9C"/>
    <w:rsid w:val="00BB73B9"/>
    <w:rsid w:val="00BC07C9"/>
    <w:rsid w:val="00BC2823"/>
    <w:rsid w:val="00BC3068"/>
    <w:rsid w:val="00BC7876"/>
    <w:rsid w:val="00BC78CA"/>
    <w:rsid w:val="00BC7C1A"/>
    <w:rsid w:val="00BD0594"/>
    <w:rsid w:val="00BD2DEF"/>
    <w:rsid w:val="00BD3751"/>
    <w:rsid w:val="00BD4FA7"/>
    <w:rsid w:val="00BD77B2"/>
    <w:rsid w:val="00BD7A4A"/>
    <w:rsid w:val="00BE0B5E"/>
    <w:rsid w:val="00BE1506"/>
    <w:rsid w:val="00BE2808"/>
    <w:rsid w:val="00BE708D"/>
    <w:rsid w:val="00BF40E1"/>
    <w:rsid w:val="00BF4DFD"/>
    <w:rsid w:val="00BF5671"/>
    <w:rsid w:val="00C001C4"/>
    <w:rsid w:val="00C02EBB"/>
    <w:rsid w:val="00C03439"/>
    <w:rsid w:val="00C04EC5"/>
    <w:rsid w:val="00C0530D"/>
    <w:rsid w:val="00C05413"/>
    <w:rsid w:val="00C061BE"/>
    <w:rsid w:val="00C06460"/>
    <w:rsid w:val="00C102F7"/>
    <w:rsid w:val="00C12E1B"/>
    <w:rsid w:val="00C130BD"/>
    <w:rsid w:val="00C16A13"/>
    <w:rsid w:val="00C2060D"/>
    <w:rsid w:val="00C207D7"/>
    <w:rsid w:val="00C211CC"/>
    <w:rsid w:val="00C247CE"/>
    <w:rsid w:val="00C26BD8"/>
    <w:rsid w:val="00C341D1"/>
    <w:rsid w:val="00C34BEC"/>
    <w:rsid w:val="00C365EE"/>
    <w:rsid w:val="00C37FFD"/>
    <w:rsid w:val="00C40CBE"/>
    <w:rsid w:val="00C43F19"/>
    <w:rsid w:val="00C51D6F"/>
    <w:rsid w:val="00C52086"/>
    <w:rsid w:val="00C55D77"/>
    <w:rsid w:val="00C55FE2"/>
    <w:rsid w:val="00C56078"/>
    <w:rsid w:val="00C60197"/>
    <w:rsid w:val="00C61CBE"/>
    <w:rsid w:val="00C63E81"/>
    <w:rsid w:val="00C64283"/>
    <w:rsid w:val="00C64508"/>
    <w:rsid w:val="00C64E08"/>
    <w:rsid w:val="00C7203C"/>
    <w:rsid w:val="00C773D7"/>
    <w:rsid w:val="00C83D5A"/>
    <w:rsid w:val="00C84AB1"/>
    <w:rsid w:val="00C850B1"/>
    <w:rsid w:val="00C853A8"/>
    <w:rsid w:val="00C85BDB"/>
    <w:rsid w:val="00C874CA"/>
    <w:rsid w:val="00C8779F"/>
    <w:rsid w:val="00C91940"/>
    <w:rsid w:val="00C9199A"/>
    <w:rsid w:val="00C923CC"/>
    <w:rsid w:val="00C924CD"/>
    <w:rsid w:val="00C95A86"/>
    <w:rsid w:val="00C96FD1"/>
    <w:rsid w:val="00C97F4B"/>
    <w:rsid w:val="00CA15E7"/>
    <w:rsid w:val="00CA3541"/>
    <w:rsid w:val="00CA4D0C"/>
    <w:rsid w:val="00CA5EF9"/>
    <w:rsid w:val="00CA6865"/>
    <w:rsid w:val="00CA7FC9"/>
    <w:rsid w:val="00CB1AAC"/>
    <w:rsid w:val="00CB2EBE"/>
    <w:rsid w:val="00CB3A80"/>
    <w:rsid w:val="00CB5EE8"/>
    <w:rsid w:val="00CB656E"/>
    <w:rsid w:val="00CB6668"/>
    <w:rsid w:val="00CB6D3E"/>
    <w:rsid w:val="00CB7560"/>
    <w:rsid w:val="00CC1138"/>
    <w:rsid w:val="00CC42B0"/>
    <w:rsid w:val="00CC70D5"/>
    <w:rsid w:val="00CD590B"/>
    <w:rsid w:val="00CE123C"/>
    <w:rsid w:val="00CE146A"/>
    <w:rsid w:val="00CE239E"/>
    <w:rsid w:val="00CE3660"/>
    <w:rsid w:val="00CE70EB"/>
    <w:rsid w:val="00CE7167"/>
    <w:rsid w:val="00CF2051"/>
    <w:rsid w:val="00CF22BF"/>
    <w:rsid w:val="00CF338A"/>
    <w:rsid w:val="00CF4052"/>
    <w:rsid w:val="00D00CC6"/>
    <w:rsid w:val="00D016D0"/>
    <w:rsid w:val="00D043EA"/>
    <w:rsid w:val="00D04BAF"/>
    <w:rsid w:val="00D0531C"/>
    <w:rsid w:val="00D060B1"/>
    <w:rsid w:val="00D079E8"/>
    <w:rsid w:val="00D11D33"/>
    <w:rsid w:val="00D120B2"/>
    <w:rsid w:val="00D13591"/>
    <w:rsid w:val="00D1395E"/>
    <w:rsid w:val="00D150F4"/>
    <w:rsid w:val="00D1738A"/>
    <w:rsid w:val="00D173C5"/>
    <w:rsid w:val="00D20480"/>
    <w:rsid w:val="00D223D9"/>
    <w:rsid w:val="00D24CCD"/>
    <w:rsid w:val="00D26BD8"/>
    <w:rsid w:val="00D303C1"/>
    <w:rsid w:val="00D30428"/>
    <w:rsid w:val="00D309AA"/>
    <w:rsid w:val="00D3313A"/>
    <w:rsid w:val="00D34F21"/>
    <w:rsid w:val="00D434CA"/>
    <w:rsid w:val="00D463DF"/>
    <w:rsid w:val="00D46E9A"/>
    <w:rsid w:val="00D50B73"/>
    <w:rsid w:val="00D52922"/>
    <w:rsid w:val="00D546BB"/>
    <w:rsid w:val="00D555E8"/>
    <w:rsid w:val="00D57D05"/>
    <w:rsid w:val="00D57E82"/>
    <w:rsid w:val="00D65070"/>
    <w:rsid w:val="00D65C04"/>
    <w:rsid w:val="00D71102"/>
    <w:rsid w:val="00D72C00"/>
    <w:rsid w:val="00D8005D"/>
    <w:rsid w:val="00D81224"/>
    <w:rsid w:val="00D831D6"/>
    <w:rsid w:val="00D8373C"/>
    <w:rsid w:val="00D8491D"/>
    <w:rsid w:val="00D8771E"/>
    <w:rsid w:val="00D903FC"/>
    <w:rsid w:val="00D9120A"/>
    <w:rsid w:val="00D92478"/>
    <w:rsid w:val="00D95C16"/>
    <w:rsid w:val="00D96574"/>
    <w:rsid w:val="00D965F3"/>
    <w:rsid w:val="00DA3B5D"/>
    <w:rsid w:val="00DA6536"/>
    <w:rsid w:val="00DA7BE2"/>
    <w:rsid w:val="00DB30A1"/>
    <w:rsid w:val="00DB4AE4"/>
    <w:rsid w:val="00DB516E"/>
    <w:rsid w:val="00DB5DF7"/>
    <w:rsid w:val="00DB6C07"/>
    <w:rsid w:val="00DC1028"/>
    <w:rsid w:val="00DC123A"/>
    <w:rsid w:val="00DC1CD1"/>
    <w:rsid w:val="00DC1FBA"/>
    <w:rsid w:val="00DC2FE5"/>
    <w:rsid w:val="00DC374B"/>
    <w:rsid w:val="00DC6650"/>
    <w:rsid w:val="00DD07E8"/>
    <w:rsid w:val="00DD3217"/>
    <w:rsid w:val="00DD3B69"/>
    <w:rsid w:val="00DD55C2"/>
    <w:rsid w:val="00DD5C2D"/>
    <w:rsid w:val="00DD7E8E"/>
    <w:rsid w:val="00DE0A9F"/>
    <w:rsid w:val="00DE1376"/>
    <w:rsid w:val="00DE4530"/>
    <w:rsid w:val="00DE5201"/>
    <w:rsid w:val="00DE5D97"/>
    <w:rsid w:val="00DE6E79"/>
    <w:rsid w:val="00DF08D1"/>
    <w:rsid w:val="00DF2697"/>
    <w:rsid w:val="00DF2863"/>
    <w:rsid w:val="00DF59A9"/>
    <w:rsid w:val="00DF5D76"/>
    <w:rsid w:val="00DF6716"/>
    <w:rsid w:val="00DF6FEF"/>
    <w:rsid w:val="00E0312D"/>
    <w:rsid w:val="00E03ED9"/>
    <w:rsid w:val="00E04BE7"/>
    <w:rsid w:val="00E06D86"/>
    <w:rsid w:val="00E1291B"/>
    <w:rsid w:val="00E15CBC"/>
    <w:rsid w:val="00E17485"/>
    <w:rsid w:val="00E17E4B"/>
    <w:rsid w:val="00E17F5B"/>
    <w:rsid w:val="00E20A2C"/>
    <w:rsid w:val="00E23043"/>
    <w:rsid w:val="00E24408"/>
    <w:rsid w:val="00E278F5"/>
    <w:rsid w:val="00E32F47"/>
    <w:rsid w:val="00E40ABB"/>
    <w:rsid w:val="00E428EA"/>
    <w:rsid w:val="00E503E1"/>
    <w:rsid w:val="00E50F53"/>
    <w:rsid w:val="00E51605"/>
    <w:rsid w:val="00E52914"/>
    <w:rsid w:val="00E54152"/>
    <w:rsid w:val="00E562B1"/>
    <w:rsid w:val="00E56714"/>
    <w:rsid w:val="00E60447"/>
    <w:rsid w:val="00E64D32"/>
    <w:rsid w:val="00E651CC"/>
    <w:rsid w:val="00E668E4"/>
    <w:rsid w:val="00E7183C"/>
    <w:rsid w:val="00E73074"/>
    <w:rsid w:val="00E734F4"/>
    <w:rsid w:val="00E73E77"/>
    <w:rsid w:val="00E73F79"/>
    <w:rsid w:val="00E74822"/>
    <w:rsid w:val="00E75641"/>
    <w:rsid w:val="00E7579D"/>
    <w:rsid w:val="00E77408"/>
    <w:rsid w:val="00E8056C"/>
    <w:rsid w:val="00E823AE"/>
    <w:rsid w:val="00E85483"/>
    <w:rsid w:val="00E8683E"/>
    <w:rsid w:val="00E87852"/>
    <w:rsid w:val="00E9019B"/>
    <w:rsid w:val="00E91A51"/>
    <w:rsid w:val="00E920CC"/>
    <w:rsid w:val="00E932D7"/>
    <w:rsid w:val="00E93888"/>
    <w:rsid w:val="00E93CC0"/>
    <w:rsid w:val="00E9577A"/>
    <w:rsid w:val="00E972A2"/>
    <w:rsid w:val="00E97BEA"/>
    <w:rsid w:val="00EA162B"/>
    <w:rsid w:val="00EA227C"/>
    <w:rsid w:val="00EA294F"/>
    <w:rsid w:val="00EA48F6"/>
    <w:rsid w:val="00EA5E1F"/>
    <w:rsid w:val="00EA7293"/>
    <w:rsid w:val="00EA7816"/>
    <w:rsid w:val="00EB1220"/>
    <w:rsid w:val="00EB1691"/>
    <w:rsid w:val="00EB2B52"/>
    <w:rsid w:val="00EB55FF"/>
    <w:rsid w:val="00EB712A"/>
    <w:rsid w:val="00EB73A4"/>
    <w:rsid w:val="00EB794F"/>
    <w:rsid w:val="00EC13F6"/>
    <w:rsid w:val="00EC289B"/>
    <w:rsid w:val="00EC32A2"/>
    <w:rsid w:val="00EC32FB"/>
    <w:rsid w:val="00EC336F"/>
    <w:rsid w:val="00EC489A"/>
    <w:rsid w:val="00EC66CE"/>
    <w:rsid w:val="00ED1321"/>
    <w:rsid w:val="00ED259D"/>
    <w:rsid w:val="00ED4ECD"/>
    <w:rsid w:val="00ED6A8D"/>
    <w:rsid w:val="00ED71CA"/>
    <w:rsid w:val="00ED77D3"/>
    <w:rsid w:val="00EE1293"/>
    <w:rsid w:val="00EE17F7"/>
    <w:rsid w:val="00EE199F"/>
    <w:rsid w:val="00EE3201"/>
    <w:rsid w:val="00EE6FDE"/>
    <w:rsid w:val="00EE7121"/>
    <w:rsid w:val="00EF1751"/>
    <w:rsid w:val="00EF4991"/>
    <w:rsid w:val="00EF5F30"/>
    <w:rsid w:val="00F02173"/>
    <w:rsid w:val="00F026DA"/>
    <w:rsid w:val="00F0404F"/>
    <w:rsid w:val="00F04663"/>
    <w:rsid w:val="00F05077"/>
    <w:rsid w:val="00F06B4B"/>
    <w:rsid w:val="00F10222"/>
    <w:rsid w:val="00F133DD"/>
    <w:rsid w:val="00F17E58"/>
    <w:rsid w:val="00F20A1F"/>
    <w:rsid w:val="00F26C6F"/>
    <w:rsid w:val="00F2717F"/>
    <w:rsid w:val="00F3466A"/>
    <w:rsid w:val="00F34F92"/>
    <w:rsid w:val="00F354C6"/>
    <w:rsid w:val="00F360B4"/>
    <w:rsid w:val="00F375E5"/>
    <w:rsid w:val="00F37F03"/>
    <w:rsid w:val="00F37FCB"/>
    <w:rsid w:val="00F4049C"/>
    <w:rsid w:val="00F40D2B"/>
    <w:rsid w:val="00F40E0A"/>
    <w:rsid w:val="00F42E48"/>
    <w:rsid w:val="00F447D9"/>
    <w:rsid w:val="00F45A29"/>
    <w:rsid w:val="00F45A34"/>
    <w:rsid w:val="00F4644C"/>
    <w:rsid w:val="00F4686F"/>
    <w:rsid w:val="00F509E4"/>
    <w:rsid w:val="00F52FBC"/>
    <w:rsid w:val="00F53FCA"/>
    <w:rsid w:val="00F54E64"/>
    <w:rsid w:val="00F55702"/>
    <w:rsid w:val="00F563EA"/>
    <w:rsid w:val="00F57B33"/>
    <w:rsid w:val="00F66127"/>
    <w:rsid w:val="00F74CF7"/>
    <w:rsid w:val="00F75B85"/>
    <w:rsid w:val="00F76FFD"/>
    <w:rsid w:val="00F77B92"/>
    <w:rsid w:val="00F77F7E"/>
    <w:rsid w:val="00F848A2"/>
    <w:rsid w:val="00F86EDD"/>
    <w:rsid w:val="00F87641"/>
    <w:rsid w:val="00F9148F"/>
    <w:rsid w:val="00F91C4A"/>
    <w:rsid w:val="00F97723"/>
    <w:rsid w:val="00F97AEF"/>
    <w:rsid w:val="00FA0233"/>
    <w:rsid w:val="00FA0633"/>
    <w:rsid w:val="00FA1682"/>
    <w:rsid w:val="00FA2B3B"/>
    <w:rsid w:val="00FA4225"/>
    <w:rsid w:val="00FA65B1"/>
    <w:rsid w:val="00FA68DA"/>
    <w:rsid w:val="00FA7428"/>
    <w:rsid w:val="00FB03AC"/>
    <w:rsid w:val="00FB560C"/>
    <w:rsid w:val="00FB5988"/>
    <w:rsid w:val="00FB75FE"/>
    <w:rsid w:val="00FC1B07"/>
    <w:rsid w:val="00FC2EEC"/>
    <w:rsid w:val="00FC2F8A"/>
    <w:rsid w:val="00FC3F78"/>
    <w:rsid w:val="00FC6545"/>
    <w:rsid w:val="00FD061A"/>
    <w:rsid w:val="00FD31A8"/>
    <w:rsid w:val="00FD5CB2"/>
    <w:rsid w:val="00FD66E5"/>
    <w:rsid w:val="00FE52AC"/>
    <w:rsid w:val="00FE5A6B"/>
    <w:rsid w:val="00FF1E78"/>
    <w:rsid w:val="00FF1FC2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30D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2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223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C053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0530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C05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F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F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23D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53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05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530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30DD5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30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DD5"/>
    <w:pPr>
      <w:ind w:left="720"/>
      <w:contextualSpacing/>
    </w:pPr>
  </w:style>
  <w:style w:type="paragraph" w:customStyle="1" w:styleId="ConsPlusCell">
    <w:name w:val="ConsPlusCell"/>
    <w:uiPriority w:val="99"/>
    <w:rsid w:val="00730D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unhideWhenUsed/>
    <w:rsid w:val="00C130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3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62F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62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C306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C3068"/>
    <w:rPr>
      <w:rFonts w:cs="Times New Roman"/>
    </w:rPr>
  </w:style>
  <w:style w:type="paragraph" w:styleId="ac">
    <w:name w:val="Balloon Text"/>
    <w:basedOn w:val="a"/>
    <w:link w:val="ad"/>
    <w:rsid w:val="00BC3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30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F4049C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F404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rsid w:val="005F1F86"/>
  </w:style>
  <w:style w:type="character" w:customStyle="1" w:styleId="11">
    <w:name w:val="Текст примечания Знак1"/>
    <w:basedOn w:val="a0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rsid w:val="005F1F86"/>
    <w:rPr>
      <w:b/>
      <w:bCs/>
    </w:rPr>
  </w:style>
  <w:style w:type="character" w:customStyle="1" w:styleId="12">
    <w:name w:val="Тема примечания Знак1"/>
    <w:basedOn w:val="11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A34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Текст выноски Знак1"/>
    <w:basedOn w:val="a0"/>
    <w:rsid w:val="00E932D7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unhideWhenUsed/>
    <w:rsid w:val="006009CD"/>
    <w:rPr>
      <w:sz w:val="16"/>
      <w:szCs w:val="16"/>
    </w:rPr>
  </w:style>
  <w:style w:type="paragraph" w:styleId="af5">
    <w:name w:val="footnote text"/>
    <w:basedOn w:val="a"/>
    <w:link w:val="af6"/>
    <w:unhideWhenUsed/>
    <w:rsid w:val="001E1F83"/>
  </w:style>
  <w:style w:type="character" w:customStyle="1" w:styleId="af6">
    <w:name w:val="Текст сноски Знак"/>
    <w:basedOn w:val="a0"/>
    <w:link w:val="af5"/>
    <w:rsid w:val="001E1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C6019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C601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9">
    <w:name w:val="No Spacing"/>
    <w:uiPriority w:val="1"/>
    <w:qFormat/>
    <w:rsid w:val="00A7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C0530D"/>
    <w:pPr>
      <w:spacing w:after="120"/>
    </w:pPr>
  </w:style>
  <w:style w:type="character" w:customStyle="1" w:styleId="afb">
    <w:name w:val="Основной текст Знак"/>
    <w:basedOn w:val="a0"/>
    <w:link w:val="afa"/>
    <w:rsid w:val="00C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53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C0530D"/>
    <w:pPr>
      <w:keepNext/>
    </w:pPr>
    <w:rPr>
      <w:snapToGrid w:val="0"/>
      <w:sz w:val="28"/>
    </w:rPr>
  </w:style>
  <w:style w:type="character" w:styleId="afc">
    <w:name w:val="footnote reference"/>
    <w:rsid w:val="00C0530D"/>
    <w:rPr>
      <w:vertAlign w:val="superscript"/>
    </w:rPr>
  </w:style>
  <w:style w:type="paragraph" w:customStyle="1" w:styleId="ConsPlusNormal">
    <w:name w:val="ConsPlusNormal"/>
    <w:rsid w:val="00C05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Акт"/>
    <w:basedOn w:val="a"/>
    <w:rsid w:val="00C0530D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C0530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C0530D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C0530D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C0530D"/>
    <w:pPr>
      <w:ind w:left="720"/>
      <w:contextualSpacing/>
    </w:pPr>
    <w:rPr>
      <w:rFonts w:eastAsia="Calibri"/>
    </w:rPr>
  </w:style>
  <w:style w:type="paragraph" w:styleId="afe">
    <w:name w:val="Block Text"/>
    <w:basedOn w:val="a"/>
    <w:rsid w:val="00C0530D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C0530D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591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eft">
    <w:name w:val="left"/>
    <w:rsid w:val="00083119"/>
  </w:style>
  <w:style w:type="table" w:customStyle="1" w:styleId="26">
    <w:name w:val="Сетка таблицы2"/>
    <w:basedOn w:val="a1"/>
    <w:next w:val="a5"/>
    <w:uiPriority w:val="59"/>
    <w:rsid w:val="0008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semiHidden/>
    <w:unhideWhenUsed/>
    <w:rsid w:val="00083119"/>
    <w:rPr>
      <w:color w:val="0000FF"/>
      <w:u w:val="single"/>
    </w:rPr>
  </w:style>
  <w:style w:type="paragraph" w:customStyle="1" w:styleId="font5">
    <w:name w:val="font5"/>
    <w:basedOn w:val="a"/>
    <w:rsid w:val="0008311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083119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5">
    <w:name w:val="xl65"/>
    <w:basedOn w:val="a"/>
    <w:rsid w:val="0008311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083119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8311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0831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5">
    <w:name w:val="xl105"/>
    <w:basedOn w:val="a"/>
    <w:rsid w:val="000831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831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1">
    <w:name w:val="xl111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ff0">
    <w:name w:val="FollowedHyperlink"/>
    <w:basedOn w:val="a0"/>
    <w:uiPriority w:val="99"/>
    <w:semiHidden/>
    <w:unhideWhenUsed/>
    <w:rsid w:val="0012309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30D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2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223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C053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0530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C05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F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F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23D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53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05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530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30DD5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30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DD5"/>
    <w:pPr>
      <w:ind w:left="720"/>
      <w:contextualSpacing/>
    </w:pPr>
  </w:style>
  <w:style w:type="paragraph" w:customStyle="1" w:styleId="ConsPlusCell">
    <w:name w:val="ConsPlusCell"/>
    <w:uiPriority w:val="99"/>
    <w:rsid w:val="00730D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unhideWhenUsed/>
    <w:rsid w:val="00C130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3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62F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62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C306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C3068"/>
    <w:rPr>
      <w:rFonts w:cs="Times New Roman"/>
    </w:rPr>
  </w:style>
  <w:style w:type="paragraph" w:styleId="ac">
    <w:name w:val="Balloon Text"/>
    <w:basedOn w:val="a"/>
    <w:link w:val="ad"/>
    <w:rsid w:val="00BC3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30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F4049C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F404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rsid w:val="005F1F86"/>
  </w:style>
  <w:style w:type="character" w:customStyle="1" w:styleId="11">
    <w:name w:val="Текст примечания Знак1"/>
    <w:basedOn w:val="a0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rsid w:val="005F1F86"/>
    <w:rPr>
      <w:b/>
      <w:bCs/>
    </w:rPr>
  </w:style>
  <w:style w:type="character" w:customStyle="1" w:styleId="12">
    <w:name w:val="Тема примечания Знак1"/>
    <w:basedOn w:val="11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A34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Текст выноски Знак1"/>
    <w:basedOn w:val="a0"/>
    <w:rsid w:val="00E932D7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unhideWhenUsed/>
    <w:rsid w:val="006009CD"/>
    <w:rPr>
      <w:sz w:val="16"/>
      <w:szCs w:val="16"/>
    </w:rPr>
  </w:style>
  <w:style w:type="paragraph" w:styleId="af5">
    <w:name w:val="footnote text"/>
    <w:basedOn w:val="a"/>
    <w:link w:val="af6"/>
    <w:unhideWhenUsed/>
    <w:rsid w:val="001E1F83"/>
  </w:style>
  <w:style w:type="character" w:customStyle="1" w:styleId="af6">
    <w:name w:val="Текст сноски Знак"/>
    <w:basedOn w:val="a0"/>
    <w:link w:val="af5"/>
    <w:rsid w:val="001E1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C6019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C601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9">
    <w:name w:val="No Spacing"/>
    <w:uiPriority w:val="1"/>
    <w:qFormat/>
    <w:rsid w:val="00A7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C0530D"/>
    <w:pPr>
      <w:spacing w:after="120"/>
    </w:pPr>
  </w:style>
  <w:style w:type="character" w:customStyle="1" w:styleId="afb">
    <w:name w:val="Основной текст Знак"/>
    <w:basedOn w:val="a0"/>
    <w:link w:val="afa"/>
    <w:rsid w:val="00C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53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C0530D"/>
    <w:pPr>
      <w:keepNext/>
    </w:pPr>
    <w:rPr>
      <w:snapToGrid w:val="0"/>
      <w:sz w:val="28"/>
    </w:rPr>
  </w:style>
  <w:style w:type="character" w:styleId="afc">
    <w:name w:val="footnote reference"/>
    <w:rsid w:val="00C0530D"/>
    <w:rPr>
      <w:vertAlign w:val="superscript"/>
    </w:rPr>
  </w:style>
  <w:style w:type="paragraph" w:customStyle="1" w:styleId="ConsPlusNormal">
    <w:name w:val="ConsPlusNormal"/>
    <w:rsid w:val="00C05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Акт"/>
    <w:basedOn w:val="a"/>
    <w:rsid w:val="00C0530D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C0530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C0530D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C0530D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C0530D"/>
    <w:pPr>
      <w:ind w:left="720"/>
      <w:contextualSpacing/>
    </w:pPr>
    <w:rPr>
      <w:rFonts w:eastAsia="Calibri"/>
    </w:rPr>
  </w:style>
  <w:style w:type="paragraph" w:styleId="afe">
    <w:name w:val="Block Text"/>
    <w:basedOn w:val="a"/>
    <w:rsid w:val="00C0530D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C0530D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591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eft">
    <w:name w:val="left"/>
    <w:rsid w:val="00083119"/>
  </w:style>
  <w:style w:type="table" w:customStyle="1" w:styleId="26">
    <w:name w:val="Сетка таблицы2"/>
    <w:basedOn w:val="a1"/>
    <w:next w:val="a5"/>
    <w:uiPriority w:val="59"/>
    <w:rsid w:val="0008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semiHidden/>
    <w:unhideWhenUsed/>
    <w:rsid w:val="00083119"/>
    <w:rPr>
      <w:color w:val="0000FF"/>
      <w:u w:val="single"/>
    </w:rPr>
  </w:style>
  <w:style w:type="paragraph" w:customStyle="1" w:styleId="font5">
    <w:name w:val="font5"/>
    <w:basedOn w:val="a"/>
    <w:rsid w:val="0008311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083119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5">
    <w:name w:val="xl65"/>
    <w:basedOn w:val="a"/>
    <w:rsid w:val="0008311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083119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8311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0831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5">
    <w:name w:val="xl105"/>
    <w:basedOn w:val="a"/>
    <w:rsid w:val="000831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831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1">
    <w:name w:val="xl111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ff0">
    <w:name w:val="FollowedHyperlink"/>
    <w:basedOn w:val="a0"/>
    <w:uiPriority w:val="99"/>
    <w:semiHidden/>
    <w:unhideWhenUsed/>
    <w:rsid w:val="001230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C93C-EC62-45CB-BE78-696DFFA3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4600</Words>
  <Characters>26221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30760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2017-03-01T13:45:00Z</cp:lastPrinted>
  <dcterms:created xsi:type="dcterms:W3CDTF">2017-09-21T07:43:00Z</dcterms:created>
  <dcterms:modified xsi:type="dcterms:W3CDTF">2017-09-21T07:59:00Z</dcterms:modified>
</cp:coreProperties>
</file>